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F2F1" w14:textId="4A066A7A"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6D57F1CC" w14:textId="77777777"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61E40EAD" w14:textId="77777777" w:rsidR="00E73695" w:rsidRDefault="00E73695" w:rsidP="00E73695">
      <w:pPr>
        <w:spacing w:after="0" w:line="240" w:lineRule="auto"/>
        <w:rPr>
          <w:rFonts w:ascii="Times New Roman" w:eastAsia="Times New Roman" w:hAnsi="Times New Roman" w:cs="Times New Roman"/>
          <w:sz w:val="24"/>
          <w:szCs w:val="24"/>
          <w:lang w:eastAsia="en-GB"/>
        </w:rPr>
      </w:pPr>
    </w:p>
    <w:p w14:paraId="0513EE86" w14:textId="77777777"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68B23ED4" w14:textId="6D7C7A44" w:rsidR="00E73695" w:rsidRDefault="00C0499C" w:rsidP="00E7369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SOUTH</w:t>
      </w:r>
      <w:r w:rsidR="00730B4C">
        <w:rPr>
          <w:rFonts w:ascii="Arial" w:eastAsia="Times New Roman" w:hAnsi="Arial" w:cs="Arial"/>
          <w:b/>
          <w:sz w:val="32"/>
          <w:szCs w:val="32"/>
          <w:lang w:eastAsia="en-GB"/>
        </w:rPr>
        <w:t xml:space="preserve"> RIBBLE BOROUGH COUNCIL AND CHORLEY BOROUGH </w:t>
      </w:r>
      <w:r w:rsidR="00E73695">
        <w:rPr>
          <w:rFonts w:ascii="Arial" w:eastAsia="Times New Roman" w:hAnsi="Arial" w:cs="Arial"/>
          <w:b/>
          <w:sz w:val="32"/>
          <w:szCs w:val="32"/>
          <w:lang w:eastAsia="en-GB"/>
        </w:rPr>
        <w:t>COUNCIL</w:t>
      </w:r>
      <w:r w:rsidR="00803ECF">
        <w:rPr>
          <w:rFonts w:ascii="Arial" w:eastAsia="Times New Roman" w:hAnsi="Arial" w:cs="Arial"/>
          <w:b/>
          <w:sz w:val="32"/>
          <w:szCs w:val="32"/>
          <w:lang w:eastAsia="en-GB"/>
        </w:rPr>
        <w:t xml:space="preserve"> AUDIT AND RISK</w:t>
      </w:r>
      <w:r w:rsidR="000D46C1">
        <w:rPr>
          <w:rFonts w:ascii="Arial" w:eastAsia="Times New Roman" w:hAnsi="Arial" w:cs="Arial"/>
          <w:b/>
          <w:sz w:val="32"/>
          <w:szCs w:val="32"/>
          <w:lang w:eastAsia="en-GB"/>
        </w:rPr>
        <w:t xml:space="preserve"> SERVICE</w:t>
      </w:r>
    </w:p>
    <w:p w14:paraId="1921350B" w14:textId="77777777" w:rsidR="00E73695" w:rsidRDefault="00E73695" w:rsidP="00E7369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p>
    <w:p w14:paraId="29FC9B4C" w14:textId="77777777" w:rsidR="00E73695" w:rsidRDefault="00E73695" w:rsidP="00E7369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p>
    <w:p w14:paraId="5ADE8434" w14:textId="77777777" w:rsidR="00E73695" w:rsidRDefault="00E73695" w:rsidP="00E7369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PEER REVIEW OF INTERNAL AUDIT AGAINST THE UK PUBLIC SECTOR INTERNAL AUDIT STANDARDS</w:t>
      </w:r>
    </w:p>
    <w:p w14:paraId="2582B7AD" w14:textId="77777777" w:rsidR="00E73695" w:rsidRDefault="00E73695" w:rsidP="00E7369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p>
    <w:p w14:paraId="22CD3A32" w14:textId="77777777" w:rsidR="00E73695" w:rsidRDefault="00E73695" w:rsidP="00E7369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p>
    <w:p w14:paraId="363E5B8B" w14:textId="75656F01" w:rsidR="00E73695" w:rsidRDefault="00003986" w:rsidP="00E7369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JU</w:t>
      </w:r>
      <w:r w:rsidR="00B97133">
        <w:rPr>
          <w:rFonts w:ascii="Arial" w:eastAsia="Times New Roman" w:hAnsi="Arial" w:cs="Arial"/>
          <w:b/>
          <w:sz w:val="32"/>
          <w:szCs w:val="32"/>
          <w:lang w:eastAsia="en-GB"/>
        </w:rPr>
        <w:t>NE</w:t>
      </w:r>
      <w:r w:rsidR="00EA0DE3">
        <w:rPr>
          <w:rFonts w:ascii="Arial" w:eastAsia="Times New Roman" w:hAnsi="Arial" w:cs="Arial"/>
          <w:b/>
          <w:sz w:val="32"/>
          <w:szCs w:val="32"/>
          <w:lang w:eastAsia="en-GB"/>
        </w:rPr>
        <w:t>/JULY</w:t>
      </w:r>
      <w:r w:rsidR="00E73695">
        <w:rPr>
          <w:rFonts w:ascii="Arial" w:eastAsia="Times New Roman" w:hAnsi="Arial" w:cs="Arial"/>
          <w:b/>
          <w:sz w:val="32"/>
          <w:szCs w:val="32"/>
          <w:lang w:eastAsia="en-GB"/>
        </w:rPr>
        <w:t xml:space="preserve"> 20</w:t>
      </w:r>
      <w:r>
        <w:rPr>
          <w:rFonts w:ascii="Arial" w:eastAsia="Times New Roman" w:hAnsi="Arial" w:cs="Arial"/>
          <w:b/>
          <w:sz w:val="32"/>
          <w:szCs w:val="32"/>
          <w:lang w:eastAsia="en-GB"/>
        </w:rPr>
        <w:t>2</w:t>
      </w:r>
      <w:r w:rsidR="00B97133">
        <w:rPr>
          <w:rFonts w:ascii="Arial" w:eastAsia="Times New Roman" w:hAnsi="Arial" w:cs="Arial"/>
          <w:b/>
          <w:sz w:val="32"/>
          <w:szCs w:val="32"/>
          <w:lang w:eastAsia="en-GB"/>
        </w:rPr>
        <w:t>3</w:t>
      </w:r>
    </w:p>
    <w:p w14:paraId="114AB300" w14:textId="77777777" w:rsidR="00E73695" w:rsidRDefault="00E73695" w:rsidP="00E73695">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36"/>
          <w:szCs w:val="36"/>
          <w:lang w:eastAsia="en-GB"/>
        </w:rPr>
      </w:pPr>
    </w:p>
    <w:p w14:paraId="79C1AFC2" w14:textId="77777777" w:rsidR="00E73695" w:rsidRDefault="00E73695" w:rsidP="00E73695">
      <w:pPr>
        <w:spacing w:after="0" w:line="240" w:lineRule="auto"/>
        <w:jc w:val="center"/>
        <w:rPr>
          <w:rFonts w:eastAsia="Times New Roman" w:cs="Arial"/>
          <w:b/>
          <w:sz w:val="36"/>
          <w:szCs w:val="36"/>
          <w:lang w:eastAsia="en-GB"/>
        </w:rPr>
      </w:pPr>
    </w:p>
    <w:p w14:paraId="16809E7D" w14:textId="77777777" w:rsidR="00E73695" w:rsidRDefault="00E73695" w:rsidP="00E73695">
      <w:pPr>
        <w:spacing w:after="0" w:line="240" w:lineRule="auto"/>
        <w:jc w:val="center"/>
        <w:rPr>
          <w:rFonts w:eastAsia="Times New Roman" w:cs="Arial"/>
          <w:b/>
          <w:sz w:val="28"/>
          <w:szCs w:val="28"/>
          <w:lang w:eastAsia="en-GB"/>
        </w:rPr>
      </w:pPr>
    </w:p>
    <w:p w14:paraId="5F4CE25F" w14:textId="77777777" w:rsidR="00E73695" w:rsidRDefault="00E73695" w:rsidP="00E73695">
      <w:pPr>
        <w:spacing w:after="0" w:line="240" w:lineRule="auto"/>
        <w:jc w:val="center"/>
        <w:rPr>
          <w:rFonts w:eastAsia="Times New Roman" w:cs="Arial"/>
          <w:b/>
          <w:sz w:val="28"/>
          <w:szCs w:val="28"/>
          <w:lang w:eastAsia="en-GB"/>
        </w:rPr>
      </w:pPr>
    </w:p>
    <w:p w14:paraId="239542DC" w14:textId="77777777" w:rsidR="00E73695" w:rsidRDefault="00E73695" w:rsidP="00E73695">
      <w:pPr>
        <w:spacing w:after="0" w:line="240" w:lineRule="auto"/>
        <w:jc w:val="center"/>
        <w:rPr>
          <w:rFonts w:eastAsia="Times New Roman" w:cs="Arial"/>
          <w:b/>
          <w:sz w:val="28"/>
          <w:szCs w:val="28"/>
          <w:lang w:eastAsia="en-GB"/>
        </w:rPr>
      </w:pPr>
    </w:p>
    <w:p w14:paraId="3032BE6D" w14:textId="77777777" w:rsidR="00E73695" w:rsidRDefault="00E73695" w:rsidP="00E73695">
      <w:pPr>
        <w:spacing w:after="0" w:line="240" w:lineRule="auto"/>
        <w:jc w:val="center"/>
        <w:rPr>
          <w:rFonts w:eastAsia="Times New Roman" w:cs="Arial"/>
          <w:b/>
          <w:sz w:val="28"/>
          <w:szCs w:val="28"/>
          <w:lang w:eastAsia="en-GB"/>
        </w:rPr>
      </w:pPr>
    </w:p>
    <w:p w14:paraId="25C02089" w14:textId="0E415404" w:rsidR="00E73695" w:rsidRDefault="004B5185" w:rsidP="00E73695">
      <w:pPr>
        <w:spacing w:after="0" w:line="240" w:lineRule="auto"/>
        <w:jc w:val="center"/>
        <w:rPr>
          <w:rFonts w:eastAsia="Times New Roman" w:cs="Arial"/>
          <w:b/>
          <w:sz w:val="28"/>
          <w:szCs w:val="28"/>
          <w:lang w:eastAsia="en-GB"/>
        </w:rPr>
      </w:pPr>
      <w:r>
        <w:rPr>
          <w:rFonts w:eastAsia="Times New Roman" w:cs="Arial"/>
          <w:b/>
          <w:sz w:val="28"/>
          <w:szCs w:val="28"/>
          <w:lang w:eastAsia="en-GB"/>
        </w:rPr>
        <w:t xml:space="preserve"> </w:t>
      </w:r>
      <w:r w:rsidR="009B037E">
        <w:rPr>
          <w:rFonts w:eastAsia="Times New Roman" w:cs="Arial"/>
          <w:b/>
          <w:sz w:val="28"/>
          <w:szCs w:val="28"/>
          <w:lang w:eastAsia="en-GB"/>
        </w:rPr>
        <w:t>September</w:t>
      </w:r>
      <w:r w:rsidR="00946A0C">
        <w:rPr>
          <w:rFonts w:eastAsia="Times New Roman" w:cs="Arial"/>
          <w:b/>
          <w:sz w:val="28"/>
          <w:szCs w:val="28"/>
          <w:lang w:eastAsia="en-GB"/>
        </w:rPr>
        <w:t xml:space="preserve"> 202</w:t>
      </w:r>
      <w:r w:rsidR="00EA0DE3">
        <w:rPr>
          <w:rFonts w:eastAsia="Times New Roman" w:cs="Arial"/>
          <w:b/>
          <w:sz w:val="28"/>
          <w:szCs w:val="28"/>
          <w:lang w:eastAsia="en-GB"/>
        </w:rPr>
        <w:t>3</w:t>
      </w:r>
    </w:p>
    <w:p w14:paraId="56ACDF71" w14:textId="77777777" w:rsidR="00E73695" w:rsidRDefault="00E73695" w:rsidP="00E73695">
      <w:pPr>
        <w:spacing w:after="0" w:line="240" w:lineRule="auto"/>
        <w:jc w:val="center"/>
        <w:rPr>
          <w:rFonts w:eastAsia="Times New Roman" w:cs="Arial"/>
          <w:b/>
          <w:sz w:val="28"/>
          <w:szCs w:val="28"/>
          <w:lang w:eastAsia="en-GB"/>
        </w:rPr>
      </w:pPr>
    </w:p>
    <w:p w14:paraId="4104CA51" w14:textId="77777777" w:rsidR="00E73695" w:rsidRDefault="00E73695" w:rsidP="00E73695">
      <w:pPr>
        <w:spacing w:after="0" w:line="240" w:lineRule="auto"/>
        <w:jc w:val="center"/>
        <w:rPr>
          <w:rFonts w:eastAsia="Times New Roman" w:cs="Arial"/>
          <w:b/>
          <w:sz w:val="28"/>
          <w:szCs w:val="28"/>
          <w:lang w:eastAsia="en-GB"/>
        </w:rPr>
      </w:pPr>
    </w:p>
    <w:p w14:paraId="6FD25E37" w14:textId="77777777" w:rsidR="00E73695" w:rsidRDefault="00E73695" w:rsidP="00E73695">
      <w:pPr>
        <w:spacing w:after="0" w:line="240" w:lineRule="auto"/>
        <w:jc w:val="center"/>
        <w:rPr>
          <w:rFonts w:eastAsia="Times New Roman" w:cs="Arial"/>
          <w:b/>
          <w:sz w:val="28"/>
          <w:szCs w:val="28"/>
          <w:lang w:eastAsia="en-GB"/>
        </w:rPr>
      </w:pPr>
    </w:p>
    <w:p w14:paraId="7475472F" w14:textId="77777777" w:rsidR="00E73695" w:rsidRDefault="00E73695" w:rsidP="00E73695">
      <w:pPr>
        <w:spacing w:after="0" w:line="240" w:lineRule="auto"/>
        <w:jc w:val="center"/>
        <w:rPr>
          <w:rFonts w:eastAsia="Times New Roman" w:cs="Arial"/>
          <w:b/>
          <w:sz w:val="28"/>
          <w:szCs w:val="28"/>
          <w:lang w:eastAsia="en-GB"/>
        </w:rPr>
      </w:pPr>
    </w:p>
    <w:p w14:paraId="5238C2CB" w14:textId="77777777" w:rsidR="00E73695" w:rsidRDefault="00E73695" w:rsidP="00E73695">
      <w:pPr>
        <w:spacing w:after="0" w:line="240" w:lineRule="auto"/>
        <w:jc w:val="center"/>
        <w:rPr>
          <w:rFonts w:eastAsia="Times New Roman" w:cs="Arial"/>
          <w:b/>
          <w:sz w:val="28"/>
          <w:szCs w:val="28"/>
          <w:lang w:eastAsia="en-GB"/>
        </w:rPr>
      </w:pPr>
    </w:p>
    <w:p w14:paraId="6695D52A" w14:textId="77777777" w:rsidR="00E73695" w:rsidRDefault="00E73695" w:rsidP="00E73695">
      <w:pPr>
        <w:spacing w:after="0" w:line="240" w:lineRule="auto"/>
        <w:jc w:val="center"/>
        <w:rPr>
          <w:rFonts w:eastAsia="Times New Roman" w:cs="Arial"/>
          <w:b/>
          <w:sz w:val="28"/>
          <w:szCs w:val="28"/>
          <w:lang w:eastAsia="en-GB"/>
        </w:rPr>
      </w:pPr>
    </w:p>
    <w:p w14:paraId="1D1F89EC" w14:textId="77777777" w:rsidR="00E73695" w:rsidRDefault="00E73695" w:rsidP="00E73695">
      <w:pPr>
        <w:spacing w:after="0" w:line="240" w:lineRule="auto"/>
        <w:jc w:val="center"/>
        <w:rPr>
          <w:rFonts w:eastAsia="Times New Roman" w:cs="Arial"/>
          <w:b/>
          <w:sz w:val="28"/>
          <w:szCs w:val="28"/>
          <w:lang w:eastAsia="en-GB"/>
        </w:rPr>
      </w:pPr>
    </w:p>
    <w:p w14:paraId="5DFAD828" w14:textId="77777777" w:rsidR="00E73695" w:rsidRDefault="00E73695" w:rsidP="00E73695">
      <w:pPr>
        <w:spacing w:after="0" w:line="240" w:lineRule="auto"/>
        <w:jc w:val="center"/>
        <w:rPr>
          <w:rFonts w:eastAsia="Times New Roman" w:cs="Arial"/>
          <w:b/>
          <w:sz w:val="28"/>
          <w:szCs w:val="28"/>
          <w:lang w:eastAsia="en-GB"/>
        </w:rPr>
      </w:pPr>
    </w:p>
    <w:p w14:paraId="7B4363EC" w14:textId="77777777" w:rsidR="00E73695" w:rsidRDefault="00E73695" w:rsidP="00E73695">
      <w:pPr>
        <w:spacing w:after="0" w:line="240" w:lineRule="auto"/>
        <w:jc w:val="center"/>
        <w:rPr>
          <w:rFonts w:eastAsia="Times New Roman" w:cs="Arial"/>
          <w:b/>
          <w:sz w:val="28"/>
          <w:szCs w:val="28"/>
          <w:lang w:eastAsia="en-GB"/>
        </w:rPr>
      </w:pPr>
    </w:p>
    <w:p w14:paraId="635D5C6D" w14:textId="77777777" w:rsidR="00E73695" w:rsidRDefault="00E73695" w:rsidP="00E73695">
      <w:pPr>
        <w:spacing w:after="0" w:line="240" w:lineRule="auto"/>
        <w:jc w:val="center"/>
        <w:rPr>
          <w:rFonts w:eastAsia="Times New Roman" w:cs="Arial"/>
          <w:b/>
          <w:sz w:val="28"/>
          <w:szCs w:val="28"/>
          <w:lang w:eastAsia="en-GB"/>
        </w:rPr>
      </w:pPr>
    </w:p>
    <w:p w14:paraId="0FAFC001" w14:textId="77777777" w:rsidR="00E73695" w:rsidRDefault="00E73695" w:rsidP="00E73695">
      <w:pPr>
        <w:spacing w:after="0" w:line="240" w:lineRule="auto"/>
        <w:jc w:val="center"/>
        <w:rPr>
          <w:rFonts w:eastAsia="Times New Roman" w:cs="Arial"/>
          <w:b/>
          <w:sz w:val="28"/>
          <w:szCs w:val="28"/>
          <w:lang w:eastAsia="en-GB"/>
        </w:rPr>
      </w:pPr>
    </w:p>
    <w:p w14:paraId="6465AA3F" w14:textId="77777777" w:rsidR="00E73695" w:rsidRDefault="00E73695" w:rsidP="00E73695">
      <w:pPr>
        <w:spacing w:after="0" w:line="240" w:lineRule="auto"/>
        <w:jc w:val="center"/>
        <w:rPr>
          <w:rFonts w:eastAsia="Times New Roman" w:cs="Arial"/>
          <w:b/>
          <w:sz w:val="28"/>
          <w:szCs w:val="28"/>
          <w:lang w:eastAsia="en-GB"/>
        </w:rPr>
      </w:pPr>
    </w:p>
    <w:p w14:paraId="2B412275" w14:textId="77777777" w:rsidR="00E73695" w:rsidRDefault="00E73695" w:rsidP="00E73695">
      <w:pPr>
        <w:spacing w:after="0" w:line="240" w:lineRule="auto"/>
        <w:rPr>
          <w:rFonts w:eastAsia="Times New Roman" w:cs="Arial"/>
          <w:b/>
          <w:sz w:val="28"/>
          <w:szCs w:val="28"/>
          <w:lang w:eastAsia="en-GB"/>
        </w:rPr>
      </w:pPr>
      <w:r>
        <w:rPr>
          <w:rFonts w:eastAsia="Times New Roman" w:cs="Arial"/>
          <w:b/>
          <w:sz w:val="28"/>
          <w:szCs w:val="28"/>
          <w:lang w:eastAsia="en-GB"/>
        </w:rPr>
        <w:t>Review Team</w:t>
      </w:r>
    </w:p>
    <w:p w14:paraId="0F570AEC" w14:textId="37EFE006" w:rsidR="00421405" w:rsidRPr="003B3F0A" w:rsidRDefault="00421405" w:rsidP="00421405">
      <w:pPr>
        <w:spacing w:after="0" w:line="240" w:lineRule="auto"/>
        <w:rPr>
          <w:rFonts w:eastAsia="Times New Roman" w:cs="Arial"/>
          <w:i/>
          <w:sz w:val="28"/>
          <w:szCs w:val="28"/>
          <w:lang w:eastAsia="en-GB"/>
        </w:rPr>
      </w:pPr>
      <w:r>
        <w:rPr>
          <w:rFonts w:eastAsia="Times New Roman" w:cs="Arial"/>
          <w:i/>
          <w:sz w:val="28"/>
          <w:szCs w:val="28"/>
          <w:lang w:eastAsia="en-GB"/>
        </w:rPr>
        <w:t xml:space="preserve">Colin Ferguson, </w:t>
      </w:r>
      <w:r w:rsidR="00385052" w:rsidRPr="00C44661">
        <w:rPr>
          <w:rFonts w:eastAsia="Times New Roman" w:cs="Arial"/>
          <w:i/>
          <w:sz w:val="28"/>
          <w:szCs w:val="28"/>
          <w:lang w:eastAsia="en-GB"/>
        </w:rPr>
        <w:t>Head of Audit &amp; Assurance Blackburn with Darwen Borough Council</w:t>
      </w:r>
      <w:r w:rsidRPr="003B3F0A">
        <w:rPr>
          <w:rFonts w:eastAsia="Times New Roman" w:cs="Arial"/>
          <w:i/>
          <w:sz w:val="28"/>
          <w:szCs w:val="28"/>
          <w:lang w:eastAsia="en-GB"/>
        </w:rPr>
        <w:t xml:space="preserve"> </w:t>
      </w:r>
    </w:p>
    <w:p w14:paraId="0D59D8C7" w14:textId="07206BFC" w:rsidR="003F49C9" w:rsidRDefault="003F49C9" w:rsidP="00E73695">
      <w:pPr>
        <w:spacing w:after="0" w:line="240" w:lineRule="auto"/>
        <w:rPr>
          <w:rFonts w:eastAsia="Times New Roman" w:cs="Arial"/>
          <w:i/>
          <w:sz w:val="28"/>
          <w:szCs w:val="28"/>
          <w:lang w:eastAsia="en-GB"/>
        </w:rPr>
      </w:pPr>
      <w:r>
        <w:rPr>
          <w:rFonts w:eastAsia="Times New Roman" w:cs="Arial"/>
          <w:i/>
          <w:sz w:val="28"/>
          <w:szCs w:val="28"/>
          <w:lang w:eastAsia="en-GB"/>
        </w:rPr>
        <w:t>D</w:t>
      </w:r>
      <w:r w:rsidR="00682F3B">
        <w:rPr>
          <w:rFonts w:eastAsia="Times New Roman" w:cs="Arial"/>
          <w:i/>
          <w:sz w:val="28"/>
          <w:szCs w:val="28"/>
          <w:lang w:eastAsia="en-GB"/>
        </w:rPr>
        <w:t>awn Allen, Audit, Risk and Performance Lead</w:t>
      </w:r>
      <w:r w:rsidR="008E4667">
        <w:rPr>
          <w:rFonts w:eastAsia="Times New Roman" w:cs="Arial"/>
          <w:i/>
          <w:sz w:val="28"/>
          <w:szCs w:val="28"/>
          <w:lang w:eastAsia="en-GB"/>
        </w:rPr>
        <w:t>, Wyre Council</w:t>
      </w:r>
    </w:p>
    <w:p w14:paraId="73A8C30D" w14:textId="77777777" w:rsidR="0037646D" w:rsidRPr="004D6A8B" w:rsidRDefault="0037646D" w:rsidP="0037646D">
      <w:pPr>
        <w:spacing w:after="0" w:line="240" w:lineRule="auto"/>
        <w:rPr>
          <w:rFonts w:eastAsia="Times New Roman" w:cs="Arial"/>
          <w:i/>
          <w:sz w:val="28"/>
          <w:szCs w:val="28"/>
          <w:lang w:eastAsia="en-GB"/>
        </w:rPr>
      </w:pPr>
      <w:r>
        <w:rPr>
          <w:rFonts w:eastAsia="Times New Roman" w:cs="Arial"/>
          <w:i/>
          <w:sz w:val="28"/>
          <w:szCs w:val="28"/>
          <w:lang w:eastAsia="en-GB"/>
        </w:rPr>
        <w:t>Ian Evenett, Internal Audit Manager, Burnley</w:t>
      </w:r>
      <w:r w:rsidRPr="004D6A8B">
        <w:rPr>
          <w:rFonts w:eastAsia="Times New Roman" w:cs="Arial"/>
          <w:i/>
          <w:sz w:val="28"/>
          <w:szCs w:val="28"/>
          <w:lang w:eastAsia="en-GB"/>
        </w:rPr>
        <w:t xml:space="preserve"> Borough Council</w:t>
      </w:r>
    </w:p>
    <w:p w14:paraId="04FA2327" w14:textId="76F8B85C" w:rsidR="00E73695" w:rsidRPr="001D08C5" w:rsidRDefault="001D08C5" w:rsidP="001D08C5">
      <w:pPr>
        <w:spacing w:after="160" w:line="259" w:lineRule="auto"/>
        <w:rPr>
          <w:rFonts w:eastAsia="Times New Roman" w:cs="Arial"/>
          <w:b/>
          <w:sz w:val="36"/>
          <w:szCs w:val="36"/>
          <w:lang w:eastAsia="en-GB"/>
        </w:rPr>
      </w:pPr>
      <w:r>
        <w:rPr>
          <w:rFonts w:eastAsia="Times New Roman" w:cs="Arial"/>
          <w:b/>
          <w:sz w:val="36"/>
          <w:szCs w:val="36"/>
          <w:lang w:eastAsia="en-GB"/>
        </w:rPr>
        <w:br w:type="page"/>
      </w:r>
    </w:p>
    <w:p w14:paraId="0B234484" w14:textId="77777777" w:rsidR="00E73695" w:rsidRDefault="00E73695" w:rsidP="00E7369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w:t>
      </w:r>
      <w:r>
        <w:rPr>
          <w:rFonts w:ascii="Arial" w:eastAsia="Times New Roman" w:hAnsi="Arial" w:cs="Arial"/>
          <w:b/>
          <w:sz w:val="24"/>
          <w:szCs w:val="24"/>
          <w:lang w:eastAsia="en-GB"/>
        </w:rPr>
        <w:tab/>
        <w:t>Introduction</w:t>
      </w:r>
    </w:p>
    <w:p w14:paraId="630828E4" w14:textId="77777777" w:rsidR="00E73695" w:rsidRDefault="00E73695" w:rsidP="00E73695">
      <w:pPr>
        <w:spacing w:after="0" w:line="240" w:lineRule="auto"/>
        <w:rPr>
          <w:rFonts w:ascii="Arial" w:eastAsia="Times New Roman" w:hAnsi="Arial" w:cs="Arial"/>
          <w:sz w:val="24"/>
          <w:szCs w:val="24"/>
          <w:lang w:eastAsia="en-GB"/>
        </w:rPr>
      </w:pPr>
    </w:p>
    <w:p w14:paraId="4B1593EB" w14:textId="77777777" w:rsidR="00E73695" w:rsidRDefault="00E73695" w:rsidP="00E73695">
      <w:pPr>
        <w:numPr>
          <w:ilvl w:val="1"/>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sz w:val="24"/>
          <w:szCs w:val="24"/>
          <w:lang w:eastAsia="en-GB"/>
        </w:rPr>
        <w:t>All principal local authorities and other relevant bodies subject to the Accounts and Audit (England) Regulations 2015 (amended), the Accounts and Audit (Wales) regulations 2005, section 95 of the Local Government (Scotland) Act 1973 and the Amendment to the Local Government (Accounts and Audit) Regulations (Northern Ireland) 2006 must make provision for internal audit in accordance with the Public Sector Internal Audit Standards (PSIAS) as well as the (CIPFA) Local Government Application Note.</w:t>
      </w:r>
    </w:p>
    <w:p w14:paraId="15D8694D" w14:textId="77777777" w:rsidR="00E73695" w:rsidRDefault="00E73695" w:rsidP="00E73695">
      <w:pPr>
        <w:autoSpaceDE w:val="0"/>
        <w:autoSpaceDN w:val="0"/>
        <w:adjustRightInd w:val="0"/>
        <w:spacing w:after="0" w:line="240" w:lineRule="auto"/>
        <w:ind w:left="360"/>
        <w:jc w:val="both"/>
        <w:rPr>
          <w:rFonts w:ascii="Arial" w:eastAsia="Times New Roman" w:hAnsi="Arial" w:cs="Arial"/>
          <w:color w:val="000000"/>
          <w:sz w:val="24"/>
          <w:szCs w:val="24"/>
          <w:lang w:eastAsia="en-GB"/>
        </w:rPr>
      </w:pPr>
    </w:p>
    <w:p w14:paraId="2A4C7B07" w14:textId="77777777" w:rsidR="00E73695" w:rsidRDefault="00E73695" w:rsidP="00E73695">
      <w:pPr>
        <w:numPr>
          <w:ilvl w:val="1"/>
          <w:numId w:val="1"/>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professional, independent and objective internal audit service is one of the key elements of good governance in local government.</w:t>
      </w:r>
    </w:p>
    <w:p w14:paraId="53187D08" w14:textId="77777777" w:rsidR="00E73695" w:rsidRDefault="00E73695" w:rsidP="00E73695">
      <w:pPr>
        <w:autoSpaceDE w:val="0"/>
        <w:autoSpaceDN w:val="0"/>
        <w:adjustRightInd w:val="0"/>
        <w:spacing w:after="0" w:line="191" w:lineRule="atLeast"/>
        <w:jc w:val="both"/>
        <w:rPr>
          <w:rFonts w:ascii="Arial" w:eastAsia="Times New Roman" w:hAnsi="Arial" w:cs="Arial"/>
          <w:color w:val="4F81BD"/>
          <w:sz w:val="24"/>
          <w:szCs w:val="24"/>
          <w:lang w:eastAsia="en-GB"/>
        </w:rPr>
      </w:pPr>
    </w:p>
    <w:p w14:paraId="6D816C4D" w14:textId="77777777" w:rsidR="00E73695" w:rsidRDefault="00E73695" w:rsidP="00E73695">
      <w:pPr>
        <w:numPr>
          <w:ilvl w:val="1"/>
          <w:numId w:val="1"/>
        </w:numPr>
        <w:autoSpaceDE w:val="0"/>
        <w:autoSpaceDN w:val="0"/>
        <w:adjustRightInd w:val="0"/>
        <w:spacing w:after="0" w:line="240" w:lineRule="auto"/>
        <w:jc w:val="both"/>
        <w:rPr>
          <w:rFonts w:ascii="Arial" w:eastAsia="Times New Roman" w:hAnsi="Arial" w:cs="Arial"/>
          <w:sz w:val="24"/>
          <w:szCs w:val="24"/>
          <w:lang w:eastAsia="en-GB"/>
        </w:rPr>
      </w:pPr>
      <w:r>
        <w:rPr>
          <w:rFonts w:ascii="Arial" w:hAnsi="Arial" w:cs="Arial"/>
          <w:sz w:val="24"/>
          <w:szCs w:val="24"/>
        </w:rPr>
        <w:t xml:space="preserve">The PSIAS require that an external assessment of an organisation’s internal audit function </w:t>
      </w:r>
      <w:proofErr w:type="gramStart"/>
      <w:r>
        <w:rPr>
          <w:rFonts w:ascii="Arial" w:hAnsi="Arial" w:cs="Arial"/>
          <w:sz w:val="24"/>
          <w:szCs w:val="24"/>
        </w:rPr>
        <w:t>is</w:t>
      </w:r>
      <w:proofErr w:type="gramEnd"/>
      <w:r>
        <w:rPr>
          <w:rFonts w:ascii="Arial" w:hAnsi="Arial" w:cs="Arial"/>
          <w:sz w:val="24"/>
          <w:szCs w:val="24"/>
        </w:rPr>
        <w:t xml:space="preserve"> carried out once every five years by a qualified, independent assessor or assessment team from outside of the organisation. External assessments can be in the form of a full external assessment, or a self-assessment with independent external validation.</w:t>
      </w:r>
    </w:p>
    <w:p w14:paraId="1924C25B" w14:textId="77777777" w:rsidR="00E73695" w:rsidRDefault="00E73695" w:rsidP="00E73695">
      <w:pPr>
        <w:autoSpaceDE w:val="0"/>
        <w:autoSpaceDN w:val="0"/>
        <w:adjustRightInd w:val="0"/>
        <w:spacing w:after="0" w:line="240" w:lineRule="auto"/>
        <w:jc w:val="both"/>
        <w:rPr>
          <w:rFonts w:ascii="Arial" w:hAnsi="Arial" w:cs="Arial"/>
          <w:sz w:val="24"/>
          <w:szCs w:val="24"/>
        </w:rPr>
      </w:pPr>
    </w:p>
    <w:p w14:paraId="3240E49E" w14:textId="72558BA5" w:rsidR="00E73695" w:rsidRDefault="00E73695" w:rsidP="00E73695">
      <w:pPr>
        <w:autoSpaceDE w:val="0"/>
        <w:autoSpaceDN w:val="0"/>
        <w:adjustRightInd w:val="0"/>
        <w:spacing w:after="0" w:line="240" w:lineRule="auto"/>
        <w:ind w:left="709" w:hanging="709"/>
        <w:jc w:val="both"/>
        <w:rPr>
          <w:rFonts w:ascii="Arial" w:hAnsi="Arial" w:cs="Arial"/>
          <w:sz w:val="24"/>
          <w:szCs w:val="24"/>
        </w:rPr>
      </w:pPr>
      <w:r w:rsidRPr="00C44661">
        <w:rPr>
          <w:rFonts w:ascii="Arial" w:hAnsi="Arial" w:cs="Arial"/>
          <w:sz w:val="24"/>
          <w:szCs w:val="24"/>
        </w:rPr>
        <w:t>1.4</w:t>
      </w:r>
      <w:r w:rsidRPr="00C44661">
        <w:rPr>
          <w:rFonts w:ascii="Arial" w:hAnsi="Arial" w:cs="Arial"/>
          <w:sz w:val="24"/>
          <w:szCs w:val="24"/>
        </w:rPr>
        <w:tab/>
        <w:t>The Lancashire Districts Chief Auditor Group (LDCAG) has established a ‘peer-review’ process that is managed and operated by the constituent authorities. This process addresses the requirement of external assessment by ‘self-assessment with independent external validation’ and this report presents the summary findings of the review carried out on behalf of</w:t>
      </w:r>
      <w:r w:rsidR="00283635" w:rsidRPr="00C44661">
        <w:rPr>
          <w:rFonts w:ascii="Arial" w:hAnsi="Arial" w:cs="Arial"/>
          <w:sz w:val="24"/>
          <w:szCs w:val="24"/>
        </w:rPr>
        <w:t xml:space="preserve"> </w:t>
      </w:r>
      <w:r w:rsidR="00747CCB" w:rsidRPr="00C44661">
        <w:rPr>
          <w:rFonts w:ascii="Arial" w:hAnsi="Arial" w:cs="Arial"/>
          <w:sz w:val="24"/>
          <w:szCs w:val="24"/>
        </w:rPr>
        <w:t>Chorley and</w:t>
      </w:r>
      <w:r w:rsidR="00283635" w:rsidRPr="00C44661">
        <w:rPr>
          <w:rFonts w:ascii="Arial" w:hAnsi="Arial" w:cs="Arial"/>
          <w:sz w:val="24"/>
          <w:szCs w:val="24"/>
        </w:rPr>
        <w:t xml:space="preserve"> South Ribble Borough </w:t>
      </w:r>
      <w:r w:rsidRPr="00C44661">
        <w:rPr>
          <w:rFonts w:ascii="Arial" w:hAnsi="Arial" w:cs="Arial"/>
          <w:sz w:val="24"/>
          <w:szCs w:val="24"/>
        </w:rPr>
        <w:t>Council</w:t>
      </w:r>
      <w:r w:rsidR="00283635" w:rsidRPr="00C44661">
        <w:rPr>
          <w:rFonts w:ascii="Arial" w:hAnsi="Arial" w:cs="Arial"/>
          <w:sz w:val="24"/>
          <w:szCs w:val="24"/>
        </w:rPr>
        <w:t>s</w:t>
      </w:r>
      <w:r w:rsidRPr="00C44661">
        <w:rPr>
          <w:rFonts w:ascii="Arial" w:hAnsi="Arial" w:cs="Arial"/>
          <w:sz w:val="24"/>
          <w:szCs w:val="24"/>
        </w:rPr>
        <w:t>.</w:t>
      </w:r>
    </w:p>
    <w:p w14:paraId="7E8F46C7" w14:textId="77777777" w:rsidR="00E73695" w:rsidRDefault="00E73695" w:rsidP="00E73695">
      <w:pPr>
        <w:autoSpaceDE w:val="0"/>
        <w:autoSpaceDN w:val="0"/>
        <w:adjustRightInd w:val="0"/>
        <w:spacing w:after="0" w:line="240" w:lineRule="auto"/>
        <w:ind w:left="709" w:hanging="709"/>
        <w:jc w:val="both"/>
        <w:rPr>
          <w:rFonts w:ascii="Arial" w:hAnsi="Arial" w:cs="Arial"/>
          <w:sz w:val="24"/>
          <w:szCs w:val="24"/>
        </w:rPr>
      </w:pPr>
    </w:p>
    <w:p w14:paraId="599B4823" w14:textId="38BB8DF2" w:rsidR="00E73695" w:rsidRDefault="00E73695" w:rsidP="00E73695">
      <w:pPr>
        <w:spacing w:after="0" w:line="240" w:lineRule="auto"/>
        <w:ind w:left="720" w:hanging="720"/>
        <w:jc w:val="both"/>
        <w:rPr>
          <w:rFonts w:ascii="Arial" w:eastAsia="Times New Roman" w:hAnsi="Arial" w:cs="Arial"/>
          <w:color w:val="000000"/>
          <w:sz w:val="24"/>
          <w:szCs w:val="24"/>
          <w:lang w:eastAsia="en-GB"/>
        </w:rPr>
      </w:pPr>
      <w:r>
        <w:rPr>
          <w:rFonts w:ascii="Arial" w:hAnsi="Arial" w:cs="Arial"/>
          <w:sz w:val="24"/>
          <w:szCs w:val="24"/>
        </w:rPr>
        <w:t>1.5</w:t>
      </w:r>
      <w:r>
        <w:rPr>
          <w:rFonts w:ascii="Arial" w:hAnsi="Arial" w:cs="Arial"/>
          <w:sz w:val="24"/>
          <w:szCs w:val="24"/>
        </w:rPr>
        <w:tab/>
      </w:r>
      <w:r>
        <w:rPr>
          <w:rFonts w:ascii="Arial" w:eastAsia="Times New Roman" w:hAnsi="Arial" w:cs="Arial"/>
          <w:color w:val="000000"/>
          <w:sz w:val="24"/>
          <w:szCs w:val="24"/>
          <w:lang w:eastAsia="en-GB"/>
        </w:rPr>
        <w:t xml:space="preserve">“An independent assessor or assessment team means not having either a real or an apparent conflict of interest and not being a part of, or under the control of, the organisation to which the internal audit activity belongs.” </w:t>
      </w:r>
      <w:r>
        <w:rPr>
          <w:rFonts w:ascii="Arial" w:eastAsia="Times New Roman" w:hAnsi="Arial" w:cs="Arial"/>
          <w:sz w:val="24"/>
          <w:szCs w:val="24"/>
          <w:lang w:eastAsia="en-GB"/>
        </w:rPr>
        <w:t xml:space="preserve">This review has </w:t>
      </w:r>
      <w:r w:rsidRPr="00C44661">
        <w:rPr>
          <w:rFonts w:ascii="Arial" w:eastAsia="Times New Roman" w:hAnsi="Arial" w:cs="Arial"/>
          <w:sz w:val="24"/>
          <w:szCs w:val="24"/>
          <w:lang w:eastAsia="en-GB"/>
        </w:rPr>
        <w:t xml:space="preserve">been carried out by the Heads of Internal Audit </w:t>
      </w:r>
      <w:r w:rsidR="00C44661" w:rsidRPr="00C44661">
        <w:rPr>
          <w:rFonts w:ascii="Arial" w:eastAsia="Times New Roman" w:hAnsi="Arial" w:cs="Arial"/>
          <w:sz w:val="24"/>
          <w:szCs w:val="24"/>
          <w:lang w:eastAsia="en-GB"/>
        </w:rPr>
        <w:t>at Burnley</w:t>
      </w:r>
      <w:r w:rsidR="002D54F6" w:rsidRPr="00C44661">
        <w:rPr>
          <w:rFonts w:ascii="Arial" w:eastAsia="Times New Roman" w:hAnsi="Arial" w:cs="Arial"/>
          <w:sz w:val="24"/>
          <w:szCs w:val="24"/>
          <w:lang w:eastAsia="en-GB"/>
        </w:rPr>
        <w:t xml:space="preserve"> </w:t>
      </w:r>
      <w:r w:rsidR="00B6711C" w:rsidRPr="00C44661">
        <w:rPr>
          <w:rFonts w:ascii="Arial" w:eastAsia="Times New Roman" w:hAnsi="Arial" w:cs="Arial"/>
          <w:sz w:val="24"/>
          <w:szCs w:val="24"/>
          <w:lang w:eastAsia="en-GB"/>
        </w:rPr>
        <w:t xml:space="preserve">and Blackburn with Darwen </w:t>
      </w:r>
      <w:r w:rsidR="002D54F6" w:rsidRPr="00C44661">
        <w:rPr>
          <w:rFonts w:ascii="Arial" w:eastAsia="Times New Roman" w:hAnsi="Arial" w:cs="Arial"/>
          <w:sz w:val="24"/>
          <w:szCs w:val="24"/>
          <w:lang w:eastAsia="en-GB"/>
        </w:rPr>
        <w:t>Borough Council</w:t>
      </w:r>
      <w:r w:rsidR="00B6711C" w:rsidRPr="00C44661">
        <w:rPr>
          <w:rFonts w:ascii="Arial" w:eastAsia="Times New Roman" w:hAnsi="Arial" w:cs="Arial"/>
          <w:sz w:val="24"/>
          <w:szCs w:val="24"/>
          <w:lang w:eastAsia="en-GB"/>
        </w:rPr>
        <w:t>s</w:t>
      </w:r>
      <w:r w:rsidR="0037514C" w:rsidRPr="00C44661">
        <w:rPr>
          <w:rFonts w:ascii="Arial" w:eastAsia="Times New Roman" w:hAnsi="Arial" w:cs="Arial"/>
          <w:sz w:val="24"/>
          <w:szCs w:val="24"/>
          <w:lang w:eastAsia="en-GB"/>
        </w:rPr>
        <w:t xml:space="preserve"> and the Audit, Risk and Performance Lead at Wyre</w:t>
      </w:r>
      <w:r w:rsidR="0037514C">
        <w:rPr>
          <w:rFonts w:ascii="Arial" w:eastAsia="Times New Roman" w:hAnsi="Arial" w:cs="Arial"/>
          <w:sz w:val="24"/>
          <w:szCs w:val="24"/>
          <w:lang w:eastAsia="en-GB"/>
        </w:rPr>
        <w:t xml:space="preserve"> Borough Council</w:t>
      </w:r>
      <w:r>
        <w:rPr>
          <w:rFonts w:ascii="Arial" w:eastAsia="Times New Roman" w:hAnsi="Arial" w:cs="Arial"/>
          <w:sz w:val="24"/>
          <w:szCs w:val="24"/>
          <w:lang w:eastAsia="en-GB"/>
        </w:rPr>
        <w:t>. Their ‘pen pictures’, outlining background experience and qualifications, are included at Appendix A.</w:t>
      </w:r>
    </w:p>
    <w:p w14:paraId="352B4CB1" w14:textId="77777777" w:rsidR="00E73695" w:rsidRDefault="00E73695" w:rsidP="00E73695">
      <w:pPr>
        <w:autoSpaceDE w:val="0"/>
        <w:autoSpaceDN w:val="0"/>
        <w:adjustRightInd w:val="0"/>
        <w:spacing w:after="0" w:line="240" w:lineRule="auto"/>
        <w:ind w:left="709" w:hanging="709"/>
        <w:jc w:val="both"/>
        <w:rPr>
          <w:rFonts w:ascii="Arial" w:hAnsi="Arial" w:cs="Arial"/>
          <w:sz w:val="24"/>
          <w:szCs w:val="24"/>
        </w:rPr>
      </w:pPr>
    </w:p>
    <w:p w14:paraId="592A044E" w14:textId="77777777" w:rsidR="00E73695" w:rsidRDefault="00E73695" w:rsidP="00E7369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2</w:t>
      </w:r>
      <w:r>
        <w:rPr>
          <w:rFonts w:ascii="Arial" w:eastAsia="Times New Roman" w:hAnsi="Arial" w:cs="Arial"/>
          <w:b/>
          <w:sz w:val="24"/>
          <w:szCs w:val="24"/>
          <w:lang w:eastAsia="en-GB"/>
        </w:rPr>
        <w:tab/>
        <w:t>Approach/Methodology</w:t>
      </w:r>
    </w:p>
    <w:p w14:paraId="3BF414A7" w14:textId="77777777" w:rsidR="00E73695" w:rsidRDefault="00E73695" w:rsidP="00E73695">
      <w:pPr>
        <w:spacing w:after="0" w:line="240" w:lineRule="auto"/>
        <w:ind w:left="720"/>
        <w:jc w:val="both"/>
        <w:rPr>
          <w:rFonts w:ascii="Arial" w:eastAsia="Times New Roman" w:hAnsi="Arial" w:cs="Arial"/>
          <w:b/>
          <w:sz w:val="24"/>
          <w:szCs w:val="24"/>
          <w:lang w:eastAsia="en-GB"/>
        </w:rPr>
      </w:pPr>
    </w:p>
    <w:p w14:paraId="1DC92F39" w14:textId="77777777" w:rsidR="00E73695" w:rsidRDefault="00E73695" w:rsidP="00E73695">
      <w:pPr>
        <w:autoSpaceDE w:val="0"/>
        <w:autoSpaceDN w:val="0"/>
        <w:adjustRightInd w:val="0"/>
        <w:spacing w:after="0" w:line="191" w:lineRule="atLeast"/>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2.1</w:t>
      </w:r>
      <w:r>
        <w:rPr>
          <w:rFonts w:ascii="Arial" w:eastAsia="Times New Roman" w:hAnsi="Arial" w:cs="Arial"/>
          <w:sz w:val="24"/>
          <w:szCs w:val="24"/>
          <w:lang w:eastAsia="en-GB"/>
        </w:rPr>
        <w:tab/>
        <w:t>The LDCAG has agreed a detailed Memorandum of Understanding (MoU) that outlines the broad methodology for the conduct of this review. A copy of the MoU is available upon request. However, in summary, the key elements of the process are:</w:t>
      </w:r>
    </w:p>
    <w:p w14:paraId="4A256E68" w14:textId="77777777" w:rsidR="00E73695" w:rsidRDefault="00E73695" w:rsidP="00E73695">
      <w:pPr>
        <w:autoSpaceDE w:val="0"/>
        <w:autoSpaceDN w:val="0"/>
        <w:adjustRightInd w:val="0"/>
        <w:spacing w:after="0" w:line="191" w:lineRule="atLeast"/>
        <w:ind w:left="720" w:hanging="720"/>
        <w:jc w:val="both"/>
        <w:rPr>
          <w:rFonts w:ascii="Arial" w:eastAsia="Times New Roman" w:hAnsi="Arial" w:cs="Arial"/>
          <w:sz w:val="24"/>
          <w:szCs w:val="24"/>
          <w:lang w:eastAsia="en-GB"/>
        </w:rPr>
      </w:pPr>
    </w:p>
    <w:p w14:paraId="19095750" w14:textId="5C1662BA" w:rsidR="00E73695" w:rsidRDefault="00E73695" w:rsidP="00E73695">
      <w:pPr>
        <w:pStyle w:val="ListParagraph"/>
        <w:numPr>
          <w:ilvl w:val="0"/>
          <w:numId w:val="2"/>
        </w:numPr>
        <w:autoSpaceDE w:val="0"/>
        <w:autoSpaceDN w:val="0"/>
        <w:adjustRightInd w:val="0"/>
        <w:spacing w:after="0" w:line="191" w:lineRule="atLeast"/>
        <w:ind w:left="1134" w:hanging="425"/>
        <w:jc w:val="both"/>
        <w:rPr>
          <w:rFonts w:ascii="Arial" w:hAnsi="Arial" w:cs="Arial"/>
          <w:sz w:val="24"/>
          <w:szCs w:val="24"/>
        </w:rPr>
      </w:pPr>
      <w:r>
        <w:rPr>
          <w:rFonts w:ascii="Arial" w:hAnsi="Arial" w:cs="Arial"/>
          <w:sz w:val="24"/>
          <w:szCs w:val="24"/>
        </w:rPr>
        <w:t>The peer review is undertaken in three stages: pre-review; on-site review; post-review and covers audit activity during the period covered in the latest Head of Internal Audit Annual Report and Opinion. For example, reviews commencing after 1 July 2</w:t>
      </w:r>
      <w:r w:rsidR="00753236">
        <w:rPr>
          <w:rFonts w:ascii="Arial" w:hAnsi="Arial" w:cs="Arial"/>
          <w:sz w:val="24"/>
          <w:szCs w:val="24"/>
        </w:rPr>
        <w:t>020</w:t>
      </w:r>
      <w:r>
        <w:rPr>
          <w:rFonts w:ascii="Arial" w:hAnsi="Arial" w:cs="Arial"/>
          <w:sz w:val="24"/>
          <w:szCs w:val="24"/>
        </w:rPr>
        <w:t xml:space="preserve"> will cover the audit year 1 April 201</w:t>
      </w:r>
      <w:r w:rsidR="00C84189">
        <w:rPr>
          <w:rFonts w:ascii="Arial" w:hAnsi="Arial" w:cs="Arial"/>
          <w:sz w:val="24"/>
          <w:szCs w:val="24"/>
        </w:rPr>
        <w:t xml:space="preserve">9 </w:t>
      </w:r>
      <w:r>
        <w:rPr>
          <w:rFonts w:ascii="Arial" w:hAnsi="Arial" w:cs="Arial"/>
          <w:sz w:val="24"/>
          <w:szCs w:val="24"/>
        </w:rPr>
        <w:t>to 31 March 20</w:t>
      </w:r>
      <w:r w:rsidR="00C84189">
        <w:rPr>
          <w:rFonts w:ascii="Arial" w:hAnsi="Arial" w:cs="Arial"/>
          <w:sz w:val="24"/>
          <w:szCs w:val="24"/>
        </w:rPr>
        <w:t>20</w:t>
      </w:r>
      <w:r>
        <w:rPr>
          <w:rFonts w:ascii="Arial" w:hAnsi="Arial" w:cs="Arial"/>
          <w:sz w:val="24"/>
          <w:szCs w:val="24"/>
        </w:rPr>
        <w:t>.</w:t>
      </w:r>
    </w:p>
    <w:p w14:paraId="61D66384" w14:textId="77777777" w:rsidR="00A37EE5" w:rsidRDefault="00A37EE5" w:rsidP="00A37EE5">
      <w:pPr>
        <w:pStyle w:val="ListParagraph"/>
        <w:autoSpaceDE w:val="0"/>
        <w:autoSpaceDN w:val="0"/>
        <w:adjustRightInd w:val="0"/>
        <w:spacing w:after="0" w:line="191" w:lineRule="atLeast"/>
        <w:ind w:left="1134"/>
        <w:jc w:val="both"/>
        <w:rPr>
          <w:rFonts w:ascii="Arial" w:hAnsi="Arial" w:cs="Arial"/>
          <w:sz w:val="24"/>
          <w:szCs w:val="24"/>
        </w:rPr>
      </w:pPr>
    </w:p>
    <w:p w14:paraId="15EEAD9A" w14:textId="0A61F013" w:rsidR="00A37EE5" w:rsidRPr="00A37EE5" w:rsidRDefault="00E73695" w:rsidP="00A37EE5">
      <w:pPr>
        <w:pStyle w:val="ListParagraph"/>
        <w:numPr>
          <w:ilvl w:val="0"/>
          <w:numId w:val="2"/>
        </w:numPr>
        <w:autoSpaceDE w:val="0"/>
        <w:autoSpaceDN w:val="0"/>
        <w:adjustRightInd w:val="0"/>
        <w:spacing w:after="0" w:line="191" w:lineRule="atLeast"/>
        <w:ind w:left="1134" w:hanging="425"/>
        <w:jc w:val="both"/>
        <w:rPr>
          <w:rFonts w:ascii="Arial" w:hAnsi="Arial" w:cs="Arial"/>
          <w:sz w:val="24"/>
          <w:szCs w:val="24"/>
        </w:rPr>
      </w:pPr>
      <w:r>
        <w:rPr>
          <w:rFonts w:ascii="Arial" w:hAnsi="Arial" w:cs="Arial"/>
          <w:sz w:val="24"/>
          <w:szCs w:val="24"/>
        </w:rPr>
        <w:t xml:space="preserve">Each authority is required to complete and share its self-evaluation of the Internal Audit service together with any relevant supporting evidence/documentation in advance of on-site review commencement. The LDCAG has agreed that the self-assessment will use the </w:t>
      </w:r>
      <w:r>
        <w:rPr>
          <w:rFonts w:ascii="Arial" w:hAnsi="Arial" w:cs="Arial"/>
          <w:b/>
          <w:sz w:val="24"/>
          <w:szCs w:val="24"/>
        </w:rPr>
        <w:t>CIPFA Local Government Application Note (LGAN)</w:t>
      </w:r>
      <w:r>
        <w:rPr>
          <w:rFonts w:ascii="Arial" w:hAnsi="Arial" w:cs="Arial"/>
          <w:sz w:val="24"/>
          <w:szCs w:val="24"/>
        </w:rPr>
        <w:t xml:space="preserve"> questionnaire. Typically, </w:t>
      </w:r>
      <w:r>
        <w:rPr>
          <w:rFonts w:ascii="Arial" w:hAnsi="Arial" w:cs="Arial"/>
          <w:sz w:val="24"/>
          <w:szCs w:val="24"/>
        </w:rPr>
        <w:lastRenderedPageBreak/>
        <w:t>supporting evidence will include the Internal Audit Plan &amp; Charter, The Head of Internal Audit Annual Report and Opinion, Quality Assurance and Improvement Programme and examples of final audit reports.</w:t>
      </w:r>
    </w:p>
    <w:p w14:paraId="7F164F57" w14:textId="77777777" w:rsidR="00A37EE5" w:rsidRPr="00A37EE5" w:rsidRDefault="00A37EE5" w:rsidP="00A37EE5">
      <w:pPr>
        <w:pStyle w:val="ListParagraph"/>
        <w:autoSpaceDE w:val="0"/>
        <w:autoSpaceDN w:val="0"/>
        <w:adjustRightInd w:val="0"/>
        <w:spacing w:after="0" w:line="191" w:lineRule="atLeast"/>
        <w:ind w:left="1134"/>
        <w:jc w:val="both"/>
        <w:rPr>
          <w:rFonts w:ascii="Arial" w:hAnsi="Arial" w:cs="Arial"/>
          <w:sz w:val="24"/>
          <w:szCs w:val="24"/>
        </w:rPr>
      </w:pPr>
    </w:p>
    <w:p w14:paraId="2E580C2E" w14:textId="3797F939" w:rsidR="00A37EE5" w:rsidRPr="00A37EE5" w:rsidRDefault="00E73695" w:rsidP="00A37EE5">
      <w:pPr>
        <w:pStyle w:val="ListParagraph"/>
        <w:numPr>
          <w:ilvl w:val="0"/>
          <w:numId w:val="2"/>
        </w:numPr>
        <w:autoSpaceDE w:val="0"/>
        <w:autoSpaceDN w:val="0"/>
        <w:adjustRightInd w:val="0"/>
        <w:spacing w:after="0" w:line="191" w:lineRule="atLeast"/>
        <w:ind w:left="1134" w:hanging="425"/>
        <w:jc w:val="both"/>
        <w:rPr>
          <w:rFonts w:ascii="Arial" w:hAnsi="Arial" w:cs="Arial"/>
          <w:sz w:val="24"/>
          <w:szCs w:val="24"/>
        </w:rPr>
      </w:pPr>
      <w:r w:rsidRPr="00C44661">
        <w:rPr>
          <w:rFonts w:ascii="Arial" w:hAnsi="Arial" w:cs="Arial"/>
          <w:sz w:val="24"/>
          <w:szCs w:val="24"/>
        </w:rPr>
        <w:t xml:space="preserve">To support the </w:t>
      </w:r>
      <w:r w:rsidR="00BA6D25" w:rsidRPr="00C44661">
        <w:rPr>
          <w:rFonts w:ascii="Arial" w:hAnsi="Arial" w:cs="Arial"/>
          <w:sz w:val="24"/>
          <w:szCs w:val="24"/>
        </w:rPr>
        <w:t>remote</w:t>
      </w:r>
      <w:r w:rsidR="006B68E0" w:rsidRPr="00C44661">
        <w:rPr>
          <w:rFonts w:ascii="Arial" w:hAnsi="Arial" w:cs="Arial"/>
          <w:sz w:val="24"/>
          <w:szCs w:val="24"/>
        </w:rPr>
        <w:t xml:space="preserve"> or on-site </w:t>
      </w:r>
      <w:r w:rsidRPr="00C44661">
        <w:rPr>
          <w:rFonts w:ascii="Arial" w:hAnsi="Arial" w:cs="Arial"/>
          <w:sz w:val="24"/>
          <w:szCs w:val="24"/>
        </w:rPr>
        <w:t>review, a customer survey form will be issued to key personnel within the authority being reviewed.</w:t>
      </w:r>
    </w:p>
    <w:p w14:paraId="1453B89A" w14:textId="3DEC8CC8" w:rsidR="00E73695" w:rsidRPr="00A37EE5" w:rsidRDefault="00E73695" w:rsidP="00A37EE5">
      <w:pPr>
        <w:pStyle w:val="ListParagraph"/>
        <w:autoSpaceDE w:val="0"/>
        <w:autoSpaceDN w:val="0"/>
        <w:adjustRightInd w:val="0"/>
        <w:spacing w:after="0" w:line="191" w:lineRule="atLeast"/>
        <w:ind w:left="1134"/>
        <w:jc w:val="both"/>
        <w:rPr>
          <w:rFonts w:ascii="Arial" w:hAnsi="Arial" w:cs="Arial"/>
          <w:sz w:val="24"/>
          <w:szCs w:val="24"/>
        </w:rPr>
      </w:pPr>
    </w:p>
    <w:p w14:paraId="6ADD98FA" w14:textId="315E3A8C" w:rsidR="00E73695" w:rsidRDefault="00E73695" w:rsidP="00A37EE5">
      <w:pPr>
        <w:pStyle w:val="ListParagraph"/>
        <w:numPr>
          <w:ilvl w:val="0"/>
          <w:numId w:val="2"/>
        </w:numPr>
        <w:autoSpaceDE w:val="0"/>
        <w:autoSpaceDN w:val="0"/>
        <w:adjustRightInd w:val="0"/>
        <w:spacing w:after="0" w:line="191" w:lineRule="atLeast"/>
        <w:ind w:left="1134" w:hanging="425"/>
        <w:jc w:val="both"/>
        <w:rPr>
          <w:rFonts w:ascii="Arial" w:hAnsi="Arial" w:cs="Arial"/>
          <w:sz w:val="24"/>
          <w:szCs w:val="24"/>
        </w:rPr>
      </w:pPr>
      <w:r w:rsidRPr="00C44661">
        <w:rPr>
          <w:rFonts w:ascii="Arial" w:hAnsi="Arial" w:cs="Arial"/>
          <w:sz w:val="24"/>
          <w:szCs w:val="24"/>
        </w:rPr>
        <w:t>The review itself comprises a combination of ‘desktop’ and ‘actual on-site’</w:t>
      </w:r>
      <w:r w:rsidR="006B68E0" w:rsidRPr="00C44661">
        <w:rPr>
          <w:rFonts w:ascii="Arial" w:hAnsi="Arial" w:cs="Arial"/>
          <w:sz w:val="24"/>
          <w:szCs w:val="24"/>
        </w:rPr>
        <w:t xml:space="preserve"> </w:t>
      </w:r>
      <w:r w:rsidR="00BA6D25" w:rsidRPr="00C44661">
        <w:rPr>
          <w:rFonts w:ascii="Arial" w:hAnsi="Arial" w:cs="Arial"/>
          <w:sz w:val="24"/>
          <w:szCs w:val="24"/>
        </w:rPr>
        <w:t xml:space="preserve">or remote </w:t>
      </w:r>
      <w:r w:rsidRPr="00C44661">
        <w:rPr>
          <w:rFonts w:ascii="Arial" w:hAnsi="Arial" w:cs="Arial"/>
          <w:sz w:val="24"/>
          <w:szCs w:val="24"/>
        </w:rPr>
        <w:t xml:space="preserve">review. </w:t>
      </w:r>
    </w:p>
    <w:p w14:paraId="06F8E73A" w14:textId="77777777" w:rsidR="00A37EE5" w:rsidRPr="00A37EE5" w:rsidRDefault="00A37EE5" w:rsidP="00A37EE5">
      <w:pPr>
        <w:autoSpaceDE w:val="0"/>
        <w:autoSpaceDN w:val="0"/>
        <w:adjustRightInd w:val="0"/>
        <w:spacing w:after="0" w:line="191" w:lineRule="atLeast"/>
        <w:jc w:val="both"/>
        <w:rPr>
          <w:rFonts w:ascii="Arial" w:hAnsi="Arial" w:cs="Arial"/>
          <w:sz w:val="24"/>
          <w:szCs w:val="24"/>
        </w:rPr>
      </w:pPr>
    </w:p>
    <w:p w14:paraId="52428F07" w14:textId="77777777" w:rsidR="00E73695" w:rsidRDefault="00E73695" w:rsidP="00A37EE5">
      <w:pPr>
        <w:pStyle w:val="ListParagraph"/>
        <w:numPr>
          <w:ilvl w:val="0"/>
          <w:numId w:val="2"/>
        </w:numPr>
        <w:autoSpaceDE w:val="0"/>
        <w:autoSpaceDN w:val="0"/>
        <w:adjustRightInd w:val="0"/>
        <w:spacing w:after="0" w:line="191" w:lineRule="atLeast"/>
        <w:ind w:left="1134" w:hanging="425"/>
        <w:jc w:val="both"/>
        <w:rPr>
          <w:rFonts w:ascii="Arial" w:hAnsi="Arial" w:cs="Arial"/>
          <w:sz w:val="24"/>
          <w:szCs w:val="24"/>
        </w:rPr>
      </w:pPr>
      <w:r w:rsidRPr="00C44661">
        <w:rPr>
          <w:rFonts w:ascii="Arial" w:hAnsi="Arial" w:cs="Arial"/>
          <w:sz w:val="24"/>
          <w:szCs w:val="24"/>
        </w:rPr>
        <w:t>The review cannot</w:t>
      </w:r>
      <w:r>
        <w:rPr>
          <w:rFonts w:ascii="Arial" w:hAnsi="Arial" w:cs="Arial"/>
          <w:sz w:val="24"/>
          <w:szCs w:val="24"/>
        </w:rPr>
        <w:t xml:space="preserve"> reasonably consider all elements of the LGAN self-assessment and the review team must use the ‘desktop’ period to determine strengths, weaknesses and subsequent key lines of enquiry in order that the review itself is risk-based, timely and adds real value. Each authority will be assessed against the four broad themes of: Purpose and Positioning; Structure and Resources; Audit Execution; and Impact. </w:t>
      </w:r>
    </w:p>
    <w:p w14:paraId="7E83256B" w14:textId="77777777" w:rsidR="00A37EE5" w:rsidRDefault="00A37EE5" w:rsidP="00A37EE5">
      <w:pPr>
        <w:pStyle w:val="ListParagraph"/>
        <w:ind w:left="1134"/>
        <w:rPr>
          <w:rFonts w:ascii="Arial" w:hAnsi="Arial" w:cs="Arial"/>
          <w:sz w:val="24"/>
          <w:szCs w:val="24"/>
        </w:rPr>
      </w:pPr>
    </w:p>
    <w:p w14:paraId="5E75E212" w14:textId="2C98D72A" w:rsidR="00E73695" w:rsidRDefault="00E73695" w:rsidP="00E73695">
      <w:pPr>
        <w:pStyle w:val="ListParagraph"/>
        <w:numPr>
          <w:ilvl w:val="0"/>
          <w:numId w:val="2"/>
        </w:numPr>
        <w:ind w:left="1134" w:hanging="425"/>
        <w:rPr>
          <w:rFonts w:ascii="Arial" w:hAnsi="Arial" w:cs="Arial"/>
          <w:sz w:val="24"/>
          <w:szCs w:val="24"/>
        </w:rPr>
      </w:pPr>
      <w:r>
        <w:rPr>
          <w:rFonts w:ascii="Arial" w:hAnsi="Arial" w:cs="Arial"/>
          <w:sz w:val="24"/>
          <w:szCs w:val="24"/>
        </w:rPr>
        <w:t xml:space="preserve">Upon conclusion, the Review team offers a ‘true and fair’ judgement and it is proposed that each Authority will be appraised as </w:t>
      </w:r>
      <w:r>
        <w:rPr>
          <w:rFonts w:ascii="Arial" w:hAnsi="Arial" w:cs="Arial"/>
          <w:b/>
          <w:sz w:val="24"/>
          <w:szCs w:val="24"/>
        </w:rPr>
        <w:t>Conforms</w:t>
      </w:r>
      <w:r>
        <w:rPr>
          <w:rFonts w:ascii="Arial" w:hAnsi="Arial" w:cs="Arial"/>
          <w:sz w:val="24"/>
          <w:szCs w:val="24"/>
        </w:rPr>
        <w:t xml:space="preserve">, </w:t>
      </w:r>
      <w:r>
        <w:rPr>
          <w:rFonts w:ascii="Arial" w:hAnsi="Arial" w:cs="Arial"/>
          <w:b/>
          <w:sz w:val="24"/>
          <w:szCs w:val="24"/>
        </w:rPr>
        <w:t>Partially Conforms</w:t>
      </w:r>
      <w:r>
        <w:rPr>
          <w:rFonts w:ascii="Arial" w:hAnsi="Arial" w:cs="Arial"/>
          <w:sz w:val="24"/>
          <w:szCs w:val="24"/>
        </w:rPr>
        <w:t xml:space="preserve"> or </w:t>
      </w:r>
      <w:r>
        <w:rPr>
          <w:rFonts w:ascii="Arial" w:hAnsi="Arial" w:cs="Arial"/>
          <w:b/>
          <w:sz w:val="24"/>
          <w:szCs w:val="24"/>
        </w:rPr>
        <w:t>Does Not Conform</w:t>
      </w:r>
      <w:r>
        <w:rPr>
          <w:rFonts w:ascii="Arial" w:hAnsi="Arial" w:cs="Arial"/>
          <w:sz w:val="24"/>
          <w:szCs w:val="24"/>
        </w:rPr>
        <w:t xml:space="preserve"> against each thematic area of the LGAN, from which an aggregation of the four themed scores gives an overall Authority score. </w:t>
      </w:r>
    </w:p>
    <w:p w14:paraId="6B6EC745" w14:textId="77777777" w:rsidR="00E73695" w:rsidRDefault="00E73695" w:rsidP="00E73695">
      <w:pPr>
        <w:rPr>
          <w:rFonts w:ascii="Arial" w:hAnsi="Arial" w:cs="Arial"/>
          <w:sz w:val="24"/>
          <w:szCs w:val="24"/>
        </w:rPr>
      </w:pPr>
      <w:r>
        <w:rPr>
          <w:rFonts w:ascii="Arial" w:hAnsi="Arial" w:cs="Arial"/>
          <w:b/>
          <w:sz w:val="24"/>
          <w:szCs w:val="24"/>
        </w:rPr>
        <w:t>3</w:t>
      </w:r>
      <w:r>
        <w:rPr>
          <w:rFonts w:ascii="Arial" w:hAnsi="Arial" w:cs="Arial"/>
          <w:b/>
          <w:sz w:val="24"/>
          <w:szCs w:val="24"/>
        </w:rPr>
        <w:tab/>
        <w:t>Summary Findings</w:t>
      </w:r>
    </w:p>
    <w:p w14:paraId="13DF9024" w14:textId="77777777" w:rsidR="00E73695" w:rsidRDefault="00E73695" w:rsidP="00E73695">
      <w:pPr>
        <w:ind w:left="709" w:hanging="709"/>
        <w:rPr>
          <w:rFonts w:ascii="Arial" w:hAnsi="Arial" w:cs="Arial"/>
          <w:sz w:val="24"/>
          <w:szCs w:val="24"/>
        </w:rPr>
      </w:pPr>
      <w:r>
        <w:rPr>
          <w:rFonts w:ascii="Arial" w:hAnsi="Arial" w:cs="Arial"/>
          <w:sz w:val="24"/>
          <w:szCs w:val="24"/>
        </w:rPr>
        <w:t>3.1</w:t>
      </w:r>
      <w:r>
        <w:rPr>
          <w:rFonts w:ascii="Arial" w:hAnsi="Arial" w:cs="Arial"/>
          <w:sz w:val="24"/>
          <w:szCs w:val="24"/>
        </w:rPr>
        <w:tab/>
        <w:t>Following a detailed examination process, the review team has concluded the following judgements:</w:t>
      </w:r>
    </w:p>
    <w:tbl>
      <w:tblPr>
        <w:tblStyle w:val="TableGrid"/>
        <w:tblW w:w="0" w:type="auto"/>
        <w:tblInd w:w="0" w:type="dxa"/>
        <w:tblLook w:val="04A0" w:firstRow="1" w:lastRow="0" w:firstColumn="1" w:lastColumn="0" w:noHBand="0" w:noVBand="1"/>
      </w:tblPr>
      <w:tblGrid>
        <w:gridCol w:w="4509"/>
        <w:gridCol w:w="4507"/>
      </w:tblGrid>
      <w:tr w:rsidR="00E73695" w14:paraId="76925BF0" w14:textId="77777777" w:rsidTr="00E73695">
        <w:tc>
          <w:tcPr>
            <w:tcW w:w="4621" w:type="dxa"/>
            <w:tcBorders>
              <w:top w:val="single" w:sz="4" w:space="0" w:color="auto"/>
              <w:left w:val="single" w:sz="4" w:space="0" w:color="auto"/>
              <w:bottom w:val="single" w:sz="4" w:space="0" w:color="auto"/>
              <w:right w:val="single" w:sz="4" w:space="0" w:color="auto"/>
            </w:tcBorders>
            <w:shd w:val="clear" w:color="auto" w:fill="000000" w:themeFill="text1"/>
          </w:tcPr>
          <w:p w14:paraId="02A9621D" w14:textId="77777777" w:rsidR="00E73695" w:rsidRDefault="00E73695">
            <w:pPr>
              <w:spacing w:after="0" w:line="240" w:lineRule="auto"/>
              <w:rPr>
                <w:rFonts w:ascii="Arial" w:hAnsi="Arial" w:cs="Arial"/>
                <w:b/>
                <w:sz w:val="24"/>
                <w:szCs w:val="24"/>
                <w:lang w:eastAsia="en-GB"/>
              </w:rPr>
            </w:pPr>
            <w:r>
              <w:rPr>
                <w:rFonts w:ascii="Arial" w:hAnsi="Arial" w:cs="Arial"/>
                <w:b/>
                <w:sz w:val="24"/>
                <w:szCs w:val="24"/>
                <w:lang w:eastAsia="en-GB"/>
              </w:rPr>
              <w:t>Area of Focus</w:t>
            </w:r>
          </w:p>
          <w:p w14:paraId="3725AC61" w14:textId="77777777" w:rsidR="00E73695" w:rsidRDefault="00E73695">
            <w:pPr>
              <w:spacing w:after="0" w:line="240" w:lineRule="auto"/>
              <w:rPr>
                <w:rFonts w:ascii="Arial" w:hAnsi="Arial" w:cs="Arial"/>
                <w:b/>
                <w:sz w:val="24"/>
                <w:szCs w:val="24"/>
                <w:lang w:eastAsia="en-GB"/>
              </w:rPr>
            </w:pPr>
          </w:p>
        </w:tc>
        <w:tc>
          <w:tcPr>
            <w:tcW w:w="462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B52E7C6" w14:textId="77777777" w:rsidR="00E73695" w:rsidRDefault="00E73695">
            <w:pPr>
              <w:spacing w:after="0" w:line="240" w:lineRule="auto"/>
              <w:rPr>
                <w:rFonts w:ascii="Arial" w:hAnsi="Arial" w:cs="Arial"/>
                <w:b/>
                <w:sz w:val="24"/>
                <w:szCs w:val="24"/>
                <w:lang w:eastAsia="en-GB"/>
              </w:rPr>
            </w:pPr>
            <w:r>
              <w:rPr>
                <w:rFonts w:ascii="Arial" w:hAnsi="Arial" w:cs="Arial"/>
                <w:b/>
                <w:sz w:val="24"/>
                <w:szCs w:val="24"/>
                <w:lang w:eastAsia="en-GB"/>
              </w:rPr>
              <w:t>Judgement</w:t>
            </w:r>
          </w:p>
        </w:tc>
      </w:tr>
      <w:tr w:rsidR="00E73695" w14:paraId="19B7C1F4" w14:textId="77777777" w:rsidTr="00E73695">
        <w:tc>
          <w:tcPr>
            <w:tcW w:w="4621" w:type="dxa"/>
            <w:tcBorders>
              <w:top w:val="single" w:sz="4" w:space="0" w:color="auto"/>
              <w:left w:val="single" w:sz="4" w:space="0" w:color="auto"/>
              <w:bottom w:val="single" w:sz="4" w:space="0" w:color="auto"/>
              <w:right w:val="single" w:sz="4" w:space="0" w:color="auto"/>
            </w:tcBorders>
          </w:tcPr>
          <w:p w14:paraId="67DDEB30" w14:textId="77777777" w:rsidR="00E73695" w:rsidRDefault="00E73695">
            <w:pPr>
              <w:spacing w:after="0" w:line="240" w:lineRule="auto"/>
              <w:rPr>
                <w:rFonts w:ascii="Arial" w:hAnsi="Arial" w:cs="Arial"/>
                <w:sz w:val="24"/>
                <w:szCs w:val="24"/>
                <w:lang w:eastAsia="en-GB"/>
              </w:rPr>
            </w:pPr>
            <w:r>
              <w:rPr>
                <w:rFonts w:ascii="Arial" w:hAnsi="Arial" w:cs="Arial"/>
                <w:sz w:val="24"/>
                <w:szCs w:val="24"/>
                <w:lang w:eastAsia="en-GB"/>
              </w:rPr>
              <w:t>Purpose &amp; Positioning</w:t>
            </w:r>
          </w:p>
          <w:p w14:paraId="47948AF2" w14:textId="77777777" w:rsidR="00E73695" w:rsidRDefault="00E73695">
            <w:pPr>
              <w:spacing w:after="0" w:line="240" w:lineRule="auto"/>
              <w:rPr>
                <w:rFonts w:ascii="Arial" w:hAnsi="Arial" w:cs="Arial"/>
                <w:sz w:val="24"/>
                <w:szCs w:val="24"/>
                <w:lang w:eastAsia="en-GB"/>
              </w:rPr>
            </w:pPr>
          </w:p>
        </w:tc>
        <w:tc>
          <w:tcPr>
            <w:tcW w:w="4621" w:type="dxa"/>
            <w:tcBorders>
              <w:top w:val="single" w:sz="4" w:space="0" w:color="auto"/>
              <w:left w:val="single" w:sz="4" w:space="0" w:color="auto"/>
              <w:bottom w:val="single" w:sz="4" w:space="0" w:color="auto"/>
              <w:right w:val="single" w:sz="4" w:space="0" w:color="auto"/>
            </w:tcBorders>
          </w:tcPr>
          <w:p w14:paraId="28A33F15" w14:textId="616F9BCF" w:rsidR="00E73695" w:rsidRDefault="00166A65">
            <w:pPr>
              <w:spacing w:after="0" w:line="240" w:lineRule="auto"/>
              <w:rPr>
                <w:rFonts w:ascii="Arial" w:hAnsi="Arial" w:cs="Arial"/>
                <w:sz w:val="24"/>
                <w:szCs w:val="24"/>
                <w:lang w:eastAsia="en-GB"/>
              </w:rPr>
            </w:pPr>
            <w:r>
              <w:rPr>
                <w:rFonts w:ascii="Arial" w:hAnsi="Arial" w:cs="Arial"/>
                <w:sz w:val="24"/>
                <w:szCs w:val="24"/>
                <w:lang w:eastAsia="en-GB"/>
              </w:rPr>
              <w:t>Conforms</w:t>
            </w:r>
          </w:p>
        </w:tc>
      </w:tr>
      <w:tr w:rsidR="00E73695" w14:paraId="29E55C86" w14:textId="77777777" w:rsidTr="00E73695">
        <w:tc>
          <w:tcPr>
            <w:tcW w:w="4621" w:type="dxa"/>
            <w:tcBorders>
              <w:top w:val="single" w:sz="4" w:space="0" w:color="auto"/>
              <w:left w:val="single" w:sz="4" w:space="0" w:color="auto"/>
              <w:bottom w:val="single" w:sz="4" w:space="0" w:color="auto"/>
              <w:right w:val="single" w:sz="4" w:space="0" w:color="auto"/>
            </w:tcBorders>
          </w:tcPr>
          <w:p w14:paraId="39985F65" w14:textId="77777777" w:rsidR="00E73695" w:rsidRDefault="00E73695">
            <w:pPr>
              <w:spacing w:after="0" w:line="240" w:lineRule="auto"/>
              <w:rPr>
                <w:rFonts w:ascii="Arial" w:hAnsi="Arial" w:cs="Arial"/>
                <w:sz w:val="24"/>
                <w:szCs w:val="24"/>
                <w:lang w:eastAsia="en-GB"/>
              </w:rPr>
            </w:pPr>
            <w:r>
              <w:rPr>
                <w:rFonts w:ascii="Arial" w:hAnsi="Arial" w:cs="Arial"/>
                <w:sz w:val="24"/>
                <w:szCs w:val="24"/>
                <w:lang w:eastAsia="en-GB"/>
              </w:rPr>
              <w:t>Structure &amp; Resources</w:t>
            </w:r>
          </w:p>
          <w:p w14:paraId="2590708C" w14:textId="77777777" w:rsidR="00E73695" w:rsidRDefault="00E73695">
            <w:pPr>
              <w:spacing w:after="0" w:line="240" w:lineRule="auto"/>
              <w:rPr>
                <w:rFonts w:ascii="Arial" w:hAnsi="Arial" w:cs="Arial"/>
                <w:sz w:val="24"/>
                <w:szCs w:val="24"/>
                <w:lang w:eastAsia="en-GB"/>
              </w:rPr>
            </w:pPr>
          </w:p>
        </w:tc>
        <w:tc>
          <w:tcPr>
            <w:tcW w:w="4621" w:type="dxa"/>
            <w:tcBorders>
              <w:top w:val="single" w:sz="4" w:space="0" w:color="auto"/>
              <w:left w:val="single" w:sz="4" w:space="0" w:color="auto"/>
              <w:bottom w:val="single" w:sz="4" w:space="0" w:color="auto"/>
              <w:right w:val="single" w:sz="4" w:space="0" w:color="auto"/>
            </w:tcBorders>
          </w:tcPr>
          <w:p w14:paraId="313A6FF2" w14:textId="277115EF" w:rsidR="00E73695" w:rsidRDefault="00166A65">
            <w:pPr>
              <w:spacing w:after="0" w:line="240" w:lineRule="auto"/>
              <w:rPr>
                <w:rFonts w:ascii="Arial" w:hAnsi="Arial" w:cs="Arial"/>
                <w:sz w:val="24"/>
                <w:szCs w:val="24"/>
                <w:lang w:eastAsia="en-GB"/>
              </w:rPr>
            </w:pPr>
            <w:r>
              <w:rPr>
                <w:rFonts w:ascii="Arial" w:hAnsi="Arial" w:cs="Arial"/>
                <w:sz w:val="24"/>
                <w:szCs w:val="24"/>
                <w:lang w:eastAsia="en-GB"/>
              </w:rPr>
              <w:t>Conforms</w:t>
            </w:r>
          </w:p>
        </w:tc>
      </w:tr>
      <w:tr w:rsidR="00E73695" w14:paraId="37FFDDA3" w14:textId="77777777" w:rsidTr="00E73695">
        <w:tc>
          <w:tcPr>
            <w:tcW w:w="4621" w:type="dxa"/>
            <w:tcBorders>
              <w:top w:val="single" w:sz="4" w:space="0" w:color="auto"/>
              <w:left w:val="single" w:sz="4" w:space="0" w:color="auto"/>
              <w:bottom w:val="single" w:sz="4" w:space="0" w:color="auto"/>
              <w:right w:val="single" w:sz="4" w:space="0" w:color="auto"/>
            </w:tcBorders>
          </w:tcPr>
          <w:p w14:paraId="5F1B50B4" w14:textId="77777777" w:rsidR="00E73695" w:rsidRDefault="00E73695">
            <w:pPr>
              <w:spacing w:after="0" w:line="240" w:lineRule="auto"/>
              <w:rPr>
                <w:rFonts w:ascii="Arial" w:hAnsi="Arial" w:cs="Arial"/>
                <w:sz w:val="24"/>
                <w:szCs w:val="24"/>
                <w:lang w:eastAsia="en-GB"/>
              </w:rPr>
            </w:pPr>
            <w:r>
              <w:rPr>
                <w:rFonts w:ascii="Arial" w:hAnsi="Arial" w:cs="Arial"/>
                <w:sz w:val="24"/>
                <w:szCs w:val="24"/>
                <w:lang w:eastAsia="en-GB"/>
              </w:rPr>
              <w:t>Audit Execution</w:t>
            </w:r>
          </w:p>
          <w:p w14:paraId="35F3E2EE" w14:textId="77777777" w:rsidR="00E73695" w:rsidRDefault="00E73695">
            <w:pPr>
              <w:spacing w:after="0" w:line="240" w:lineRule="auto"/>
              <w:rPr>
                <w:rFonts w:ascii="Arial" w:hAnsi="Arial" w:cs="Arial"/>
                <w:sz w:val="24"/>
                <w:szCs w:val="24"/>
                <w:lang w:eastAsia="en-GB"/>
              </w:rPr>
            </w:pPr>
          </w:p>
        </w:tc>
        <w:tc>
          <w:tcPr>
            <w:tcW w:w="4621" w:type="dxa"/>
            <w:tcBorders>
              <w:top w:val="single" w:sz="4" w:space="0" w:color="auto"/>
              <w:left w:val="single" w:sz="4" w:space="0" w:color="auto"/>
              <w:bottom w:val="single" w:sz="4" w:space="0" w:color="auto"/>
              <w:right w:val="single" w:sz="4" w:space="0" w:color="auto"/>
            </w:tcBorders>
          </w:tcPr>
          <w:p w14:paraId="6855A09F" w14:textId="112F5ACE" w:rsidR="00E73695" w:rsidRDefault="00166A65">
            <w:pPr>
              <w:spacing w:after="0" w:line="240" w:lineRule="auto"/>
              <w:rPr>
                <w:rFonts w:ascii="Arial" w:hAnsi="Arial" w:cs="Arial"/>
                <w:sz w:val="24"/>
                <w:szCs w:val="24"/>
                <w:lang w:eastAsia="en-GB"/>
              </w:rPr>
            </w:pPr>
            <w:r>
              <w:rPr>
                <w:rFonts w:ascii="Arial" w:hAnsi="Arial" w:cs="Arial"/>
                <w:sz w:val="24"/>
                <w:szCs w:val="24"/>
                <w:lang w:eastAsia="en-GB"/>
              </w:rPr>
              <w:t>Conforms</w:t>
            </w:r>
          </w:p>
        </w:tc>
      </w:tr>
      <w:tr w:rsidR="00E73695" w14:paraId="36859B13" w14:textId="77777777" w:rsidTr="00E73695">
        <w:tc>
          <w:tcPr>
            <w:tcW w:w="462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DE682F0" w14:textId="473C0CD5" w:rsidR="00E73695" w:rsidRDefault="00E73695" w:rsidP="0009767F">
            <w:pPr>
              <w:spacing w:after="240" w:line="240" w:lineRule="auto"/>
              <w:jc w:val="right"/>
              <w:rPr>
                <w:rFonts w:ascii="Arial" w:hAnsi="Arial" w:cs="Arial"/>
                <w:b/>
                <w:sz w:val="24"/>
                <w:szCs w:val="24"/>
                <w:lang w:eastAsia="en-GB"/>
              </w:rPr>
            </w:pPr>
            <w:r>
              <w:rPr>
                <w:rFonts w:ascii="Arial" w:hAnsi="Arial" w:cs="Arial"/>
                <w:b/>
                <w:sz w:val="24"/>
                <w:szCs w:val="24"/>
                <w:lang w:eastAsia="en-GB"/>
              </w:rPr>
              <w:t>Overall Judgement</w:t>
            </w:r>
            <w:r w:rsidR="00267E01">
              <w:rPr>
                <w:rFonts w:ascii="Arial" w:hAnsi="Arial" w:cs="Arial"/>
                <w:b/>
                <w:sz w:val="24"/>
                <w:szCs w:val="24"/>
                <w:lang w:eastAsia="en-GB"/>
              </w:rPr>
              <w:t>:</w:t>
            </w:r>
          </w:p>
        </w:tc>
        <w:tc>
          <w:tcPr>
            <w:tcW w:w="462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F3A3164" w14:textId="0D54EA6D" w:rsidR="00E73695" w:rsidRDefault="00E73695" w:rsidP="0009767F">
            <w:pPr>
              <w:spacing w:after="240" w:line="240" w:lineRule="auto"/>
              <w:rPr>
                <w:rFonts w:ascii="Arial" w:hAnsi="Arial" w:cs="Arial"/>
                <w:b/>
                <w:sz w:val="24"/>
                <w:szCs w:val="24"/>
                <w:lang w:eastAsia="en-GB"/>
              </w:rPr>
            </w:pPr>
            <w:r>
              <w:rPr>
                <w:rFonts w:ascii="Arial" w:hAnsi="Arial" w:cs="Arial"/>
                <w:b/>
                <w:sz w:val="24"/>
                <w:szCs w:val="24"/>
                <w:lang w:eastAsia="en-GB"/>
              </w:rPr>
              <w:t>Conforms</w:t>
            </w:r>
          </w:p>
        </w:tc>
      </w:tr>
    </w:tbl>
    <w:p w14:paraId="3E9B0843" w14:textId="77777777" w:rsidR="00E73695" w:rsidRDefault="00E73695" w:rsidP="00E73695">
      <w:pPr>
        <w:ind w:left="709" w:hanging="709"/>
        <w:rPr>
          <w:sz w:val="24"/>
          <w:szCs w:val="24"/>
        </w:rPr>
      </w:pPr>
      <w:r>
        <w:rPr>
          <w:sz w:val="24"/>
          <w:szCs w:val="24"/>
        </w:rPr>
        <w:tab/>
      </w:r>
    </w:p>
    <w:p w14:paraId="41FD5DEB" w14:textId="6198226B" w:rsidR="00E73695" w:rsidRDefault="00E73695" w:rsidP="00842B8B">
      <w:pPr>
        <w:ind w:left="709"/>
        <w:rPr>
          <w:rFonts w:ascii="Arial" w:hAnsi="Arial" w:cs="Arial"/>
          <w:sz w:val="24"/>
          <w:szCs w:val="24"/>
        </w:rPr>
      </w:pPr>
      <w:r>
        <w:rPr>
          <w:rFonts w:ascii="Arial" w:hAnsi="Arial" w:cs="Arial"/>
          <w:sz w:val="24"/>
          <w:szCs w:val="24"/>
        </w:rPr>
        <w:t>Assessment against the individual elements of each area of focus is included in the table at Appendix B</w:t>
      </w:r>
    </w:p>
    <w:p w14:paraId="2B99D58E" w14:textId="77777777" w:rsidR="00842B8B" w:rsidRDefault="00842B8B" w:rsidP="00E73695">
      <w:pPr>
        <w:rPr>
          <w:rFonts w:ascii="Arial" w:hAnsi="Arial" w:cs="Arial"/>
          <w:b/>
          <w:sz w:val="24"/>
          <w:szCs w:val="24"/>
        </w:rPr>
      </w:pPr>
    </w:p>
    <w:p w14:paraId="3008D6C4" w14:textId="7E6CB648" w:rsidR="00E73695" w:rsidRDefault="00E73695" w:rsidP="00E73695">
      <w:pPr>
        <w:rPr>
          <w:rFonts w:ascii="Arial" w:hAnsi="Arial" w:cs="Arial"/>
          <w:sz w:val="24"/>
          <w:szCs w:val="24"/>
        </w:rPr>
      </w:pPr>
      <w:r>
        <w:rPr>
          <w:rFonts w:ascii="Arial" w:hAnsi="Arial" w:cs="Arial"/>
          <w:b/>
          <w:sz w:val="24"/>
          <w:szCs w:val="24"/>
        </w:rPr>
        <w:t>3.2</w:t>
      </w:r>
      <w:r>
        <w:rPr>
          <w:rFonts w:ascii="Arial" w:hAnsi="Arial" w:cs="Arial"/>
          <w:b/>
          <w:sz w:val="24"/>
          <w:szCs w:val="24"/>
        </w:rPr>
        <w:tab/>
        <w:t>Positive Observations</w:t>
      </w:r>
      <w:r>
        <w:rPr>
          <w:rFonts w:ascii="Arial" w:hAnsi="Arial" w:cs="Arial"/>
          <w:sz w:val="24"/>
          <w:szCs w:val="24"/>
        </w:rPr>
        <w:t xml:space="preserve"> (i.e. good practice, innovation)</w:t>
      </w:r>
    </w:p>
    <w:p w14:paraId="4D211D27" w14:textId="0C967A84" w:rsidR="006732F5" w:rsidRPr="005C3AC1" w:rsidRDefault="006732F5" w:rsidP="007F5388">
      <w:pPr>
        <w:autoSpaceDE w:val="0"/>
        <w:autoSpaceDN w:val="0"/>
        <w:adjustRightInd w:val="0"/>
        <w:spacing w:after="0" w:line="191" w:lineRule="atLeast"/>
        <w:ind w:left="720" w:hanging="720"/>
        <w:jc w:val="both"/>
        <w:rPr>
          <w:rFonts w:ascii="Arial" w:hAnsi="Arial" w:cs="Arial"/>
          <w:sz w:val="24"/>
          <w:szCs w:val="24"/>
        </w:rPr>
      </w:pPr>
      <w:r>
        <w:rPr>
          <w:rFonts w:ascii="Arial" w:hAnsi="Arial" w:cs="Arial"/>
          <w:sz w:val="24"/>
          <w:szCs w:val="24"/>
        </w:rPr>
        <w:t>3.2.1</w:t>
      </w:r>
      <w:r>
        <w:rPr>
          <w:rFonts w:ascii="Arial" w:hAnsi="Arial" w:cs="Arial"/>
          <w:sz w:val="24"/>
          <w:szCs w:val="24"/>
        </w:rPr>
        <w:tab/>
      </w:r>
      <w:r w:rsidR="00C073FF" w:rsidRPr="005C3AC1">
        <w:rPr>
          <w:rFonts w:ascii="Arial" w:hAnsi="Arial" w:cs="Arial"/>
          <w:sz w:val="24"/>
          <w:szCs w:val="24"/>
        </w:rPr>
        <w:t xml:space="preserve">Internal Audit </w:t>
      </w:r>
      <w:r w:rsidR="00045399" w:rsidRPr="005C3AC1">
        <w:rPr>
          <w:rFonts w:ascii="Arial" w:hAnsi="Arial" w:cs="Arial"/>
          <w:sz w:val="24"/>
          <w:szCs w:val="24"/>
        </w:rPr>
        <w:t xml:space="preserve">is </w:t>
      </w:r>
      <w:r w:rsidR="00D76CD3" w:rsidRPr="005C3AC1">
        <w:rPr>
          <w:rFonts w:ascii="Arial" w:hAnsi="Arial" w:cs="Arial"/>
          <w:sz w:val="24"/>
          <w:szCs w:val="24"/>
        </w:rPr>
        <w:t xml:space="preserve">seen as </w:t>
      </w:r>
      <w:r w:rsidR="00045399" w:rsidRPr="005C3AC1">
        <w:rPr>
          <w:rFonts w:ascii="Arial" w:hAnsi="Arial" w:cs="Arial"/>
          <w:sz w:val="24"/>
          <w:szCs w:val="24"/>
        </w:rPr>
        <w:t xml:space="preserve">a professional </w:t>
      </w:r>
      <w:r w:rsidR="00A37EE5" w:rsidRPr="005C3AC1">
        <w:rPr>
          <w:rFonts w:ascii="Arial" w:hAnsi="Arial" w:cs="Arial"/>
          <w:sz w:val="24"/>
          <w:szCs w:val="24"/>
        </w:rPr>
        <w:t xml:space="preserve">and </w:t>
      </w:r>
      <w:r w:rsidR="009F5EF6" w:rsidRPr="005C3AC1">
        <w:rPr>
          <w:rFonts w:ascii="Arial" w:hAnsi="Arial" w:cs="Arial"/>
          <w:sz w:val="24"/>
          <w:szCs w:val="24"/>
        </w:rPr>
        <w:t>well-respected</w:t>
      </w:r>
      <w:r w:rsidR="00045399" w:rsidRPr="005C3AC1">
        <w:rPr>
          <w:rFonts w:ascii="Arial" w:hAnsi="Arial" w:cs="Arial"/>
          <w:sz w:val="24"/>
          <w:szCs w:val="24"/>
        </w:rPr>
        <w:t xml:space="preserve"> service with </w:t>
      </w:r>
      <w:r w:rsidR="0048606A" w:rsidRPr="005C3AC1">
        <w:rPr>
          <w:rFonts w:ascii="Arial" w:hAnsi="Arial" w:cs="Arial"/>
          <w:sz w:val="24"/>
          <w:szCs w:val="24"/>
        </w:rPr>
        <w:t xml:space="preserve">capable officers </w:t>
      </w:r>
      <w:r w:rsidR="00A37EE5" w:rsidRPr="005C3AC1">
        <w:rPr>
          <w:rFonts w:ascii="Arial" w:hAnsi="Arial" w:cs="Arial"/>
          <w:sz w:val="24"/>
          <w:szCs w:val="24"/>
        </w:rPr>
        <w:t xml:space="preserve">that have </w:t>
      </w:r>
      <w:r w:rsidR="0048606A" w:rsidRPr="005C3AC1">
        <w:rPr>
          <w:rFonts w:ascii="Arial" w:hAnsi="Arial" w:cs="Arial"/>
          <w:sz w:val="24"/>
          <w:szCs w:val="24"/>
        </w:rPr>
        <w:t>the</w:t>
      </w:r>
      <w:r w:rsidR="00A37EE5" w:rsidRPr="005C3AC1">
        <w:rPr>
          <w:rFonts w:ascii="Arial" w:hAnsi="Arial" w:cs="Arial"/>
          <w:sz w:val="24"/>
          <w:szCs w:val="24"/>
        </w:rPr>
        <w:t xml:space="preserve"> full</w:t>
      </w:r>
      <w:r w:rsidR="0048606A" w:rsidRPr="005C3AC1">
        <w:rPr>
          <w:rFonts w:ascii="Arial" w:hAnsi="Arial" w:cs="Arial"/>
          <w:sz w:val="24"/>
          <w:szCs w:val="24"/>
        </w:rPr>
        <w:t xml:space="preserve"> support of </w:t>
      </w:r>
      <w:r w:rsidR="00630B9F" w:rsidRPr="005C3AC1">
        <w:rPr>
          <w:rFonts w:ascii="Arial" w:hAnsi="Arial" w:cs="Arial"/>
          <w:sz w:val="24"/>
          <w:szCs w:val="24"/>
        </w:rPr>
        <w:t>m</w:t>
      </w:r>
      <w:r w:rsidR="007F5388" w:rsidRPr="005C3AC1">
        <w:rPr>
          <w:rFonts w:ascii="Arial" w:hAnsi="Arial" w:cs="Arial"/>
          <w:sz w:val="24"/>
          <w:szCs w:val="24"/>
        </w:rPr>
        <w:t>anagement and members.</w:t>
      </w:r>
    </w:p>
    <w:p w14:paraId="25F26DBA" w14:textId="77777777" w:rsidR="00B540BA" w:rsidRDefault="00B540BA" w:rsidP="007F5388">
      <w:pPr>
        <w:autoSpaceDE w:val="0"/>
        <w:autoSpaceDN w:val="0"/>
        <w:adjustRightInd w:val="0"/>
        <w:spacing w:after="0" w:line="191" w:lineRule="atLeast"/>
        <w:ind w:left="720" w:hanging="720"/>
        <w:jc w:val="both"/>
        <w:rPr>
          <w:rFonts w:ascii="Arial" w:hAnsi="Arial" w:cs="Arial"/>
          <w:sz w:val="24"/>
          <w:szCs w:val="24"/>
        </w:rPr>
      </w:pPr>
    </w:p>
    <w:p w14:paraId="2EA686B5" w14:textId="188D25BD" w:rsidR="00B52770" w:rsidRPr="005C3AC1" w:rsidRDefault="00630B9F" w:rsidP="009B037E">
      <w:pPr>
        <w:autoSpaceDE w:val="0"/>
        <w:autoSpaceDN w:val="0"/>
        <w:adjustRightInd w:val="0"/>
        <w:spacing w:after="0" w:line="191" w:lineRule="atLeast"/>
        <w:ind w:left="720" w:hanging="720"/>
        <w:jc w:val="both"/>
        <w:rPr>
          <w:rFonts w:ascii="Arial" w:hAnsi="Arial" w:cs="Arial"/>
          <w:sz w:val="24"/>
          <w:szCs w:val="24"/>
        </w:rPr>
      </w:pPr>
      <w:r>
        <w:rPr>
          <w:rFonts w:ascii="Arial" w:hAnsi="Arial" w:cs="Arial"/>
          <w:sz w:val="24"/>
          <w:szCs w:val="24"/>
        </w:rPr>
        <w:lastRenderedPageBreak/>
        <w:t>3.2.2</w:t>
      </w:r>
      <w:r>
        <w:rPr>
          <w:rFonts w:ascii="Arial" w:hAnsi="Arial" w:cs="Arial"/>
          <w:sz w:val="24"/>
          <w:szCs w:val="24"/>
        </w:rPr>
        <w:tab/>
      </w:r>
      <w:r w:rsidR="009B037E" w:rsidRPr="005C3AC1">
        <w:rPr>
          <w:rFonts w:ascii="Arial" w:hAnsi="Arial" w:cs="Arial"/>
          <w:sz w:val="24"/>
          <w:szCs w:val="24"/>
        </w:rPr>
        <w:t xml:space="preserve">The internal audit service is a shared service </w:t>
      </w:r>
      <w:r w:rsidR="00A37EE5" w:rsidRPr="005C3AC1">
        <w:rPr>
          <w:rFonts w:ascii="Arial" w:hAnsi="Arial" w:cs="Arial"/>
          <w:sz w:val="24"/>
          <w:szCs w:val="24"/>
        </w:rPr>
        <w:t xml:space="preserve">which </w:t>
      </w:r>
      <w:r w:rsidR="009B037E" w:rsidRPr="005C3AC1">
        <w:rPr>
          <w:rFonts w:ascii="Arial" w:hAnsi="Arial" w:cs="Arial"/>
          <w:sz w:val="24"/>
          <w:szCs w:val="24"/>
        </w:rPr>
        <w:t>reports to two separate Governance Committees (Audit Committees)</w:t>
      </w:r>
      <w:r w:rsidR="00A37EE5" w:rsidRPr="005C3AC1">
        <w:rPr>
          <w:rFonts w:ascii="Arial" w:hAnsi="Arial" w:cs="Arial"/>
          <w:sz w:val="24"/>
          <w:szCs w:val="24"/>
        </w:rPr>
        <w:t>. The team</w:t>
      </w:r>
      <w:r w:rsidR="009B037E" w:rsidRPr="005C3AC1">
        <w:rPr>
          <w:rFonts w:ascii="Arial" w:hAnsi="Arial" w:cs="Arial"/>
          <w:sz w:val="24"/>
          <w:szCs w:val="24"/>
        </w:rPr>
        <w:t xml:space="preserve"> operat</w:t>
      </w:r>
      <w:r w:rsidR="00A37EE5" w:rsidRPr="005C3AC1">
        <w:rPr>
          <w:rFonts w:ascii="Arial" w:hAnsi="Arial" w:cs="Arial"/>
          <w:sz w:val="24"/>
          <w:szCs w:val="24"/>
        </w:rPr>
        <w:t>e</w:t>
      </w:r>
      <w:r w:rsidR="009B037E" w:rsidRPr="005C3AC1">
        <w:rPr>
          <w:rFonts w:ascii="Arial" w:hAnsi="Arial" w:cs="Arial"/>
          <w:sz w:val="24"/>
          <w:szCs w:val="24"/>
        </w:rPr>
        <w:t xml:space="preserve"> a </w:t>
      </w:r>
      <w:proofErr w:type="gramStart"/>
      <w:r w:rsidR="009B037E" w:rsidRPr="005C3AC1">
        <w:rPr>
          <w:rFonts w:ascii="Arial" w:hAnsi="Arial" w:cs="Arial"/>
          <w:sz w:val="24"/>
          <w:szCs w:val="24"/>
        </w:rPr>
        <w:t>six month</w:t>
      </w:r>
      <w:proofErr w:type="gramEnd"/>
      <w:r w:rsidR="009B037E" w:rsidRPr="005C3AC1">
        <w:rPr>
          <w:rFonts w:ascii="Arial" w:hAnsi="Arial" w:cs="Arial"/>
          <w:sz w:val="24"/>
          <w:szCs w:val="24"/>
        </w:rPr>
        <w:t xml:space="preserve"> audit plan</w:t>
      </w:r>
      <w:r w:rsidR="00A37EE5" w:rsidRPr="005C3AC1">
        <w:rPr>
          <w:rFonts w:ascii="Arial" w:hAnsi="Arial" w:cs="Arial"/>
          <w:sz w:val="24"/>
          <w:szCs w:val="24"/>
        </w:rPr>
        <w:t xml:space="preserve"> for each council which </w:t>
      </w:r>
      <w:r w:rsidR="009B037E" w:rsidRPr="005C3AC1">
        <w:rPr>
          <w:rFonts w:ascii="Arial" w:hAnsi="Arial" w:cs="Arial"/>
          <w:sz w:val="24"/>
          <w:szCs w:val="24"/>
        </w:rPr>
        <w:t>means that there</w:t>
      </w:r>
      <w:r w:rsidR="001A5521" w:rsidRPr="005C3AC1">
        <w:rPr>
          <w:rFonts w:ascii="Arial" w:hAnsi="Arial" w:cs="Arial"/>
          <w:sz w:val="24"/>
          <w:szCs w:val="24"/>
        </w:rPr>
        <w:t xml:space="preserve"> are four audit plans to manage, this is done effectively by the team.</w:t>
      </w:r>
    </w:p>
    <w:p w14:paraId="42561F18" w14:textId="77777777" w:rsidR="007F5388" w:rsidRDefault="007F5388" w:rsidP="007F5388">
      <w:pPr>
        <w:autoSpaceDE w:val="0"/>
        <w:autoSpaceDN w:val="0"/>
        <w:adjustRightInd w:val="0"/>
        <w:spacing w:after="0" w:line="191" w:lineRule="atLeast"/>
        <w:ind w:left="720" w:hanging="720"/>
        <w:jc w:val="both"/>
        <w:rPr>
          <w:rFonts w:ascii="Arial" w:hAnsi="Arial" w:cs="Arial"/>
          <w:sz w:val="24"/>
          <w:szCs w:val="24"/>
        </w:rPr>
      </w:pPr>
    </w:p>
    <w:p w14:paraId="7B9F4553" w14:textId="7A96E634" w:rsidR="00E73695" w:rsidRDefault="00E73695" w:rsidP="00E73695">
      <w:pPr>
        <w:rPr>
          <w:rFonts w:ascii="Arial" w:hAnsi="Arial" w:cs="Arial"/>
          <w:sz w:val="24"/>
          <w:szCs w:val="24"/>
        </w:rPr>
      </w:pPr>
      <w:r>
        <w:rPr>
          <w:rFonts w:ascii="Arial" w:hAnsi="Arial" w:cs="Arial"/>
          <w:b/>
          <w:sz w:val="24"/>
          <w:szCs w:val="24"/>
        </w:rPr>
        <w:t>3.3</w:t>
      </w:r>
      <w:r>
        <w:rPr>
          <w:rFonts w:ascii="Arial" w:hAnsi="Arial" w:cs="Arial"/>
          <w:b/>
          <w:sz w:val="24"/>
          <w:szCs w:val="24"/>
        </w:rPr>
        <w:tab/>
        <w:t>Significant Observations</w:t>
      </w:r>
      <w:r>
        <w:rPr>
          <w:rFonts w:ascii="Arial" w:hAnsi="Arial" w:cs="Arial"/>
          <w:sz w:val="24"/>
          <w:szCs w:val="24"/>
        </w:rPr>
        <w:t xml:space="preserve"> (</w:t>
      </w:r>
      <w:r w:rsidR="0090498F">
        <w:rPr>
          <w:rFonts w:ascii="Arial" w:hAnsi="Arial" w:cs="Arial"/>
          <w:sz w:val="24"/>
          <w:szCs w:val="24"/>
        </w:rPr>
        <w:t>i.e.</w:t>
      </w:r>
      <w:r>
        <w:rPr>
          <w:rFonts w:ascii="Arial" w:hAnsi="Arial" w:cs="Arial"/>
          <w:sz w:val="24"/>
          <w:szCs w:val="24"/>
        </w:rPr>
        <w:t xml:space="preserve"> leading to a ‘does not conform’ judgement)</w:t>
      </w:r>
    </w:p>
    <w:p w14:paraId="28337BD0" w14:textId="0DA9B75F" w:rsidR="00E73695" w:rsidRPr="004F4F22" w:rsidRDefault="005F34AF" w:rsidP="004F4F22">
      <w:pPr>
        <w:rPr>
          <w:rFonts w:ascii="Arial" w:hAnsi="Arial" w:cs="Arial"/>
          <w:iCs/>
          <w:sz w:val="24"/>
          <w:szCs w:val="24"/>
        </w:rPr>
      </w:pPr>
      <w:r>
        <w:rPr>
          <w:rFonts w:ascii="Arial" w:hAnsi="Arial" w:cs="Arial"/>
          <w:iCs/>
          <w:sz w:val="24"/>
          <w:szCs w:val="24"/>
        </w:rPr>
        <w:t>3.3.1</w:t>
      </w:r>
      <w:r w:rsidR="002B77FB">
        <w:rPr>
          <w:rFonts w:ascii="Arial" w:hAnsi="Arial" w:cs="Arial"/>
          <w:iCs/>
          <w:sz w:val="24"/>
          <w:szCs w:val="24"/>
        </w:rPr>
        <w:t xml:space="preserve"> </w:t>
      </w:r>
      <w:r w:rsidR="002B77FB">
        <w:rPr>
          <w:rFonts w:ascii="Arial" w:hAnsi="Arial" w:cs="Arial"/>
          <w:iCs/>
          <w:sz w:val="24"/>
          <w:szCs w:val="24"/>
        </w:rPr>
        <w:tab/>
        <w:t>No significant observations of non-conformance were iden</w:t>
      </w:r>
      <w:r w:rsidR="004F4F22">
        <w:rPr>
          <w:rFonts w:ascii="Arial" w:hAnsi="Arial" w:cs="Arial"/>
          <w:iCs/>
          <w:sz w:val="24"/>
          <w:szCs w:val="24"/>
        </w:rPr>
        <w:t>tified.</w:t>
      </w:r>
    </w:p>
    <w:p w14:paraId="10FABE8C" w14:textId="77777777" w:rsidR="00842B8B" w:rsidRDefault="00842B8B" w:rsidP="00E73695">
      <w:pPr>
        <w:spacing w:after="0" w:line="240" w:lineRule="auto"/>
        <w:ind w:left="709" w:hanging="709"/>
        <w:jc w:val="both"/>
        <w:rPr>
          <w:rFonts w:ascii="Arial" w:eastAsia="Times New Roman" w:hAnsi="Arial" w:cs="Arial"/>
          <w:b/>
          <w:sz w:val="24"/>
          <w:szCs w:val="24"/>
          <w:lang w:eastAsia="en-GB"/>
        </w:rPr>
      </w:pPr>
    </w:p>
    <w:p w14:paraId="56529049" w14:textId="599A6E58" w:rsidR="00E73695" w:rsidRDefault="00E73695" w:rsidP="00E73695">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b/>
          <w:sz w:val="24"/>
          <w:szCs w:val="24"/>
          <w:lang w:eastAsia="en-GB"/>
        </w:rPr>
        <w:t>3.4</w:t>
      </w:r>
      <w:r>
        <w:rPr>
          <w:rFonts w:ascii="Arial" w:eastAsia="Times New Roman" w:hAnsi="Arial" w:cs="Arial"/>
          <w:b/>
          <w:sz w:val="24"/>
          <w:szCs w:val="24"/>
          <w:lang w:eastAsia="en-GB"/>
        </w:rPr>
        <w:tab/>
        <w:t xml:space="preserve">Minor Observations </w:t>
      </w:r>
      <w:r>
        <w:rPr>
          <w:rFonts w:ascii="Arial" w:eastAsia="Times New Roman" w:hAnsi="Arial" w:cs="Arial"/>
          <w:sz w:val="24"/>
          <w:szCs w:val="24"/>
          <w:lang w:eastAsia="en-GB"/>
        </w:rPr>
        <w:t>(</w:t>
      </w:r>
      <w:r w:rsidR="0090498F">
        <w:rPr>
          <w:rFonts w:ascii="Arial" w:eastAsia="Times New Roman" w:hAnsi="Arial" w:cs="Arial"/>
          <w:sz w:val="24"/>
          <w:szCs w:val="24"/>
          <w:lang w:eastAsia="en-GB"/>
        </w:rPr>
        <w:t>i.e.</w:t>
      </w:r>
      <w:r>
        <w:rPr>
          <w:rFonts w:ascii="Arial" w:eastAsia="Times New Roman" w:hAnsi="Arial" w:cs="Arial"/>
          <w:sz w:val="24"/>
          <w:szCs w:val="24"/>
          <w:lang w:eastAsia="en-GB"/>
        </w:rPr>
        <w:t xml:space="preserve"> areas for improvement/development, minor elements of non-conformance, gaps in ‘good practice’ statement)</w:t>
      </w:r>
      <w:r w:rsidR="00A37EE5">
        <w:rPr>
          <w:rFonts w:ascii="Arial" w:eastAsia="Times New Roman" w:hAnsi="Arial" w:cs="Arial"/>
          <w:sz w:val="24"/>
          <w:szCs w:val="24"/>
          <w:lang w:eastAsia="en-GB"/>
        </w:rPr>
        <w:t>.</w:t>
      </w:r>
    </w:p>
    <w:p w14:paraId="38761544" w14:textId="77777777" w:rsidR="00E73695" w:rsidRDefault="00E73695" w:rsidP="00E73695">
      <w:pPr>
        <w:spacing w:after="0" w:line="240" w:lineRule="auto"/>
        <w:ind w:left="720" w:hanging="11"/>
        <w:jc w:val="both"/>
        <w:rPr>
          <w:rFonts w:ascii="Arial" w:eastAsia="Times New Roman" w:hAnsi="Arial" w:cs="Arial"/>
          <w:sz w:val="24"/>
          <w:szCs w:val="24"/>
          <w:lang w:eastAsia="en-GB"/>
        </w:rPr>
      </w:pPr>
    </w:p>
    <w:p w14:paraId="251A95E4" w14:textId="14881CCF" w:rsidR="00E73695" w:rsidRDefault="004F4F22" w:rsidP="00072C0F">
      <w:pPr>
        <w:autoSpaceDE w:val="0"/>
        <w:autoSpaceDN w:val="0"/>
        <w:adjustRightInd w:val="0"/>
        <w:spacing w:after="0" w:line="191" w:lineRule="atLeast"/>
        <w:ind w:left="720" w:hanging="720"/>
        <w:jc w:val="both"/>
        <w:rPr>
          <w:rFonts w:ascii="Arial" w:eastAsia="Times New Roman" w:hAnsi="Arial" w:cs="Arial"/>
          <w:sz w:val="24"/>
          <w:szCs w:val="24"/>
          <w:lang w:eastAsia="en-GB"/>
        </w:rPr>
      </w:pPr>
      <w:r w:rsidRPr="00626DD8">
        <w:rPr>
          <w:rFonts w:ascii="Arial" w:hAnsi="Arial" w:cs="Arial"/>
          <w:sz w:val="24"/>
          <w:szCs w:val="24"/>
        </w:rPr>
        <w:t>3.4.1</w:t>
      </w:r>
      <w:r w:rsidR="001D658D" w:rsidRPr="00626DD8">
        <w:rPr>
          <w:rFonts w:ascii="Arial" w:hAnsi="Arial" w:cs="Arial"/>
          <w:sz w:val="24"/>
          <w:szCs w:val="24"/>
        </w:rPr>
        <w:tab/>
      </w:r>
      <w:r w:rsidR="00912AEC" w:rsidRPr="00C44661">
        <w:rPr>
          <w:rFonts w:ascii="Arial" w:hAnsi="Arial" w:cs="Arial"/>
          <w:sz w:val="24"/>
          <w:szCs w:val="24"/>
        </w:rPr>
        <w:t>There is a regular</w:t>
      </w:r>
      <w:r w:rsidR="009A493E" w:rsidRPr="00C44661">
        <w:rPr>
          <w:rFonts w:ascii="Arial" w:hAnsi="Arial" w:cs="Arial"/>
          <w:sz w:val="24"/>
          <w:szCs w:val="24"/>
        </w:rPr>
        <w:t xml:space="preserve"> sign up of staff to </w:t>
      </w:r>
      <w:r w:rsidR="00FA008F" w:rsidRPr="00C44661">
        <w:rPr>
          <w:rFonts w:ascii="Arial" w:hAnsi="Arial" w:cs="Arial"/>
          <w:sz w:val="24"/>
          <w:szCs w:val="24"/>
        </w:rPr>
        <w:t xml:space="preserve">evidence </w:t>
      </w:r>
      <w:r w:rsidR="009A493E" w:rsidRPr="00C44661">
        <w:rPr>
          <w:rFonts w:ascii="Arial" w:hAnsi="Arial" w:cs="Arial"/>
          <w:sz w:val="24"/>
          <w:szCs w:val="24"/>
        </w:rPr>
        <w:t xml:space="preserve">the compliance with conflict of interest </w:t>
      </w:r>
      <w:proofErr w:type="gramStart"/>
      <w:r w:rsidR="009A493E" w:rsidRPr="00C44661">
        <w:rPr>
          <w:rFonts w:ascii="Arial" w:hAnsi="Arial" w:cs="Arial"/>
          <w:sz w:val="24"/>
          <w:szCs w:val="24"/>
        </w:rPr>
        <w:t>requirements</w:t>
      </w:r>
      <w:proofErr w:type="gramEnd"/>
      <w:r w:rsidR="009A493E" w:rsidRPr="00C44661">
        <w:rPr>
          <w:rFonts w:ascii="Arial" w:hAnsi="Arial" w:cs="Arial"/>
          <w:sz w:val="24"/>
          <w:szCs w:val="24"/>
        </w:rPr>
        <w:t xml:space="preserve"> </w:t>
      </w:r>
      <w:r w:rsidR="0016301E" w:rsidRPr="00C44661">
        <w:rPr>
          <w:rFonts w:ascii="Arial" w:hAnsi="Arial" w:cs="Arial"/>
          <w:sz w:val="24"/>
          <w:szCs w:val="24"/>
        </w:rPr>
        <w:t xml:space="preserve">but this could be widened to include </w:t>
      </w:r>
      <w:r w:rsidR="004E399F" w:rsidRPr="00C44661">
        <w:rPr>
          <w:rFonts w:ascii="Arial" w:hAnsi="Arial" w:cs="Arial"/>
          <w:sz w:val="24"/>
          <w:szCs w:val="24"/>
        </w:rPr>
        <w:t xml:space="preserve">ethics and standards covered </w:t>
      </w:r>
      <w:r w:rsidR="00CA335F" w:rsidRPr="00C44661">
        <w:rPr>
          <w:rFonts w:ascii="Arial" w:hAnsi="Arial" w:cs="Arial"/>
          <w:sz w:val="24"/>
          <w:szCs w:val="24"/>
        </w:rPr>
        <w:t>by the PSIAS.</w:t>
      </w:r>
      <w:r w:rsidR="00F93AEF" w:rsidRPr="00C44661">
        <w:rPr>
          <w:rFonts w:ascii="Arial" w:hAnsi="Arial" w:cs="Arial"/>
          <w:sz w:val="24"/>
          <w:szCs w:val="24"/>
        </w:rPr>
        <w:t xml:space="preserve"> (4.1 and 1120)</w:t>
      </w:r>
      <w:r w:rsidR="00A37EE5">
        <w:rPr>
          <w:rFonts w:ascii="Arial" w:hAnsi="Arial" w:cs="Arial"/>
          <w:sz w:val="24"/>
          <w:szCs w:val="24"/>
        </w:rPr>
        <w:t>.</w:t>
      </w:r>
    </w:p>
    <w:p w14:paraId="0E2813B8" w14:textId="77777777" w:rsidR="00626DD8" w:rsidRPr="00072C0F" w:rsidRDefault="00626DD8" w:rsidP="00072C0F">
      <w:pPr>
        <w:autoSpaceDE w:val="0"/>
        <w:autoSpaceDN w:val="0"/>
        <w:adjustRightInd w:val="0"/>
        <w:spacing w:after="0" w:line="191" w:lineRule="atLeast"/>
        <w:ind w:left="720" w:hanging="720"/>
        <w:jc w:val="both"/>
        <w:rPr>
          <w:rFonts w:ascii="Arial" w:eastAsia="Times New Roman" w:hAnsi="Arial" w:cs="Arial"/>
          <w:sz w:val="24"/>
          <w:szCs w:val="24"/>
          <w:lang w:eastAsia="en-GB"/>
        </w:rPr>
      </w:pPr>
    </w:p>
    <w:p w14:paraId="45088BBC" w14:textId="75554954" w:rsidR="00E13DC8" w:rsidRPr="00C44661" w:rsidRDefault="001D658D" w:rsidP="00072C0F">
      <w:pPr>
        <w:autoSpaceDE w:val="0"/>
        <w:autoSpaceDN w:val="0"/>
        <w:adjustRightInd w:val="0"/>
        <w:spacing w:after="0" w:line="191" w:lineRule="atLeast"/>
        <w:ind w:left="720" w:hanging="720"/>
        <w:jc w:val="both"/>
        <w:rPr>
          <w:rFonts w:ascii="Arial" w:hAnsi="Arial" w:cs="Arial"/>
          <w:sz w:val="24"/>
          <w:szCs w:val="24"/>
        </w:rPr>
      </w:pPr>
      <w:r w:rsidRPr="00C44661">
        <w:rPr>
          <w:rFonts w:ascii="Arial" w:hAnsi="Arial" w:cs="Arial"/>
          <w:sz w:val="24"/>
          <w:szCs w:val="24"/>
        </w:rPr>
        <w:t>3.4.</w:t>
      </w:r>
      <w:r w:rsidR="0090498F">
        <w:rPr>
          <w:rFonts w:ascii="Arial" w:hAnsi="Arial" w:cs="Arial"/>
          <w:sz w:val="24"/>
          <w:szCs w:val="24"/>
        </w:rPr>
        <w:t>2</w:t>
      </w:r>
      <w:r w:rsidR="000F6CD2" w:rsidRPr="00C44661">
        <w:rPr>
          <w:rFonts w:ascii="Arial" w:hAnsi="Arial" w:cs="Arial"/>
          <w:sz w:val="24"/>
          <w:szCs w:val="24"/>
        </w:rPr>
        <w:tab/>
      </w:r>
      <w:r w:rsidR="00D910DB" w:rsidRPr="00C44661">
        <w:rPr>
          <w:rFonts w:ascii="Arial" w:hAnsi="Arial" w:cs="Arial"/>
          <w:sz w:val="24"/>
          <w:szCs w:val="24"/>
        </w:rPr>
        <w:t xml:space="preserve">There was evidence of review of working papers </w:t>
      </w:r>
      <w:r w:rsidR="005A5FB7" w:rsidRPr="00C44661">
        <w:rPr>
          <w:rFonts w:ascii="Arial" w:hAnsi="Arial" w:cs="Arial"/>
          <w:sz w:val="24"/>
          <w:szCs w:val="24"/>
        </w:rPr>
        <w:t xml:space="preserve">and reports </w:t>
      </w:r>
      <w:r w:rsidR="00D910DB" w:rsidRPr="00C44661">
        <w:rPr>
          <w:rFonts w:ascii="Arial" w:hAnsi="Arial" w:cs="Arial"/>
          <w:sz w:val="24"/>
          <w:szCs w:val="24"/>
        </w:rPr>
        <w:t>for engagements</w:t>
      </w:r>
      <w:r w:rsidR="00496739" w:rsidRPr="00C44661">
        <w:rPr>
          <w:rFonts w:ascii="Arial" w:hAnsi="Arial" w:cs="Arial"/>
          <w:sz w:val="24"/>
          <w:szCs w:val="24"/>
        </w:rPr>
        <w:t xml:space="preserve">, however this was in the form of </w:t>
      </w:r>
      <w:r w:rsidR="0095090A" w:rsidRPr="00C44661">
        <w:rPr>
          <w:rFonts w:ascii="Arial" w:hAnsi="Arial" w:cs="Arial"/>
          <w:sz w:val="24"/>
          <w:szCs w:val="24"/>
        </w:rPr>
        <w:t>emails. Th</w:t>
      </w:r>
      <w:r w:rsidR="00693A33" w:rsidRPr="00C44661">
        <w:rPr>
          <w:rFonts w:ascii="Arial" w:hAnsi="Arial" w:cs="Arial"/>
          <w:sz w:val="24"/>
          <w:szCs w:val="24"/>
        </w:rPr>
        <w:t xml:space="preserve">is could be incorporated </w:t>
      </w:r>
      <w:r w:rsidR="00A85E00" w:rsidRPr="00C44661">
        <w:rPr>
          <w:rFonts w:ascii="Arial" w:hAnsi="Arial" w:cs="Arial"/>
          <w:sz w:val="24"/>
          <w:szCs w:val="24"/>
        </w:rPr>
        <w:t>into the Audit Engagement – Quality Control</w:t>
      </w:r>
      <w:r w:rsidR="004C36A7" w:rsidRPr="00C44661">
        <w:rPr>
          <w:rFonts w:ascii="Arial" w:hAnsi="Arial" w:cs="Arial"/>
          <w:sz w:val="24"/>
          <w:szCs w:val="24"/>
        </w:rPr>
        <w:t xml:space="preserve"> Checklis</w:t>
      </w:r>
      <w:r w:rsidR="00A84D6D" w:rsidRPr="00C44661">
        <w:rPr>
          <w:rFonts w:ascii="Arial" w:hAnsi="Arial" w:cs="Arial"/>
          <w:sz w:val="24"/>
          <w:szCs w:val="24"/>
        </w:rPr>
        <w:t>t (</w:t>
      </w:r>
      <w:r w:rsidR="00246B0D" w:rsidRPr="00C44661">
        <w:rPr>
          <w:rFonts w:ascii="Arial" w:hAnsi="Arial" w:cs="Arial"/>
          <w:sz w:val="24"/>
          <w:szCs w:val="24"/>
        </w:rPr>
        <w:t>1310</w:t>
      </w:r>
      <w:r w:rsidR="0090498F" w:rsidRPr="00C44661">
        <w:rPr>
          <w:rFonts w:ascii="Arial" w:hAnsi="Arial" w:cs="Arial"/>
          <w:sz w:val="24"/>
          <w:szCs w:val="24"/>
        </w:rPr>
        <w:t>) and</w:t>
      </w:r>
      <w:r w:rsidR="00076BC4" w:rsidRPr="00C44661">
        <w:rPr>
          <w:rFonts w:ascii="Arial" w:hAnsi="Arial" w:cs="Arial"/>
          <w:sz w:val="24"/>
          <w:szCs w:val="24"/>
        </w:rPr>
        <w:t xml:space="preserve"> formally recorded.</w:t>
      </w:r>
    </w:p>
    <w:p w14:paraId="36CD9628" w14:textId="73E57553" w:rsidR="001D658D" w:rsidRPr="00C44661" w:rsidRDefault="001D658D" w:rsidP="00072C0F">
      <w:pPr>
        <w:autoSpaceDE w:val="0"/>
        <w:autoSpaceDN w:val="0"/>
        <w:adjustRightInd w:val="0"/>
        <w:spacing w:after="0" w:line="191" w:lineRule="atLeast"/>
        <w:ind w:left="720" w:hanging="720"/>
        <w:jc w:val="both"/>
        <w:rPr>
          <w:rFonts w:ascii="Arial" w:hAnsi="Arial" w:cs="Arial"/>
          <w:sz w:val="24"/>
          <w:szCs w:val="24"/>
        </w:rPr>
      </w:pPr>
    </w:p>
    <w:p w14:paraId="282B7C46" w14:textId="44C5E7D2" w:rsidR="00026437" w:rsidRPr="00C44661" w:rsidRDefault="001D658D" w:rsidP="00072C0F">
      <w:pPr>
        <w:autoSpaceDE w:val="0"/>
        <w:autoSpaceDN w:val="0"/>
        <w:adjustRightInd w:val="0"/>
        <w:spacing w:after="0" w:line="191" w:lineRule="atLeast"/>
        <w:ind w:left="720" w:hanging="720"/>
        <w:jc w:val="both"/>
        <w:rPr>
          <w:rFonts w:ascii="Arial" w:hAnsi="Arial" w:cs="Arial"/>
          <w:sz w:val="24"/>
          <w:szCs w:val="24"/>
        </w:rPr>
      </w:pPr>
      <w:r w:rsidRPr="00C44661">
        <w:rPr>
          <w:rFonts w:ascii="Arial" w:hAnsi="Arial" w:cs="Arial"/>
          <w:sz w:val="24"/>
          <w:szCs w:val="24"/>
        </w:rPr>
        <w:t>3.4.</w:t>
      </w:r>
      <w:r w:rsidR="0090498F">
        <w:rPr>
          <w:rFonts w:ascii="Arial" w:hAnsi="Arial" w:cs="Arial"/>
          <w:sz w:val="24"/>
          <w:szCs w:val="24"/>
        </w:rPr>
        <w:t>3</w:t>
      </w:r>
      <w:r w:rsidR="000F6CD2" w:rsidRPr="00C44661">
        <w:rPr>
          <w:rFonts w:ascii="Arial" w:hAnsi="Arial" w:cs="Arial"/>
          <w:sz w:val="24"/>
          <w:szCs w:val="24"/>
        </w:rPr>
        <w:tab/>
      </w:r>
      <w:bookmarkStart w:id="0" w:name="_Hlk143610751"/>
      <w:r w:rsidR="00446484" w:rsidRPr="00C44661">
        <w:rPr>
          <w:rFonts w:ascii="Arial" w:hAnsi="Arial" w:cs="Arial"/>
          <w:sz w:val="24"/>
          <w:szCs w:val="24"/>
        </w:rPr>
        <w:t>Some of the documentation</w:t>
      </w:r>
      <w:r w:rsidR="0023599D" w:rsidRPr="00C44661">
        <w:rPr>
          <w:rFonts w:ascii="Arial" w:hAnsi="Arial" w:cs="Arial"/>
          <w:sz w:val="24"/>
          <w:szCs w:val="24"/>
        </w:rPr>
        <w:t xml:space="preserve"> provided (specifically the </w:t>
      </w:r>
      <w:r w:rsidR="00F859A5" w:rsidRPr="00C44661">
        <w:rPr>
          <w:rFonts w:ascii="Arial" w:hAnsi="Arial" w:cs="Arial"/>
          <w:sz w:val="24"/>
          <w:szCs w:val="24"/>
        </w:rPr>
        <w:t>C</w:t>
      </w:r>
      <w:r w:rsidR="007E0932" w:rsidRPr="00C44661">
        <w:rPr>
          <w:rFonts w:ascii="Arial" w:hAnsi="Arial" w:cs="Arial"/>
          <w:sz w:val="24"/>
          <w:szCs w:val="24"/>
        </w:rPr>
        <w:t>harters</w:t>
      </w:r>
      <w:r w:rsidR="00327DE0" w:rsidRPr="00C44661">
        <w:rPr>
          <w:rFonts w:ascii="Arial" w:hAnsi="Arial" w:cs="Arial"/>
          <w:sz w:val="24"/>
          <w:szCs w:val="24"/>
        </w:rPr>
        <w:t>)</w:t>
      </w:r>
      <w:r w:rsidR="007E0932" w:rsidRPr="00C44661">
        <w:rPr>
          <w:rFonts w:ascii="Arial" w:hAnsi="Arial" w:cs="Arial"/>
          <w:sz w:val="24"/>
          <w:szCs w:val="24"/>
        </w:rPr>
        <w:t xml:space="preserve"> </w:t>
      </w:r>
      <w:r w:rsidR="0023599D" w:rsidRPr="00C44661">
        <w:rPr>
          <w:rFonts w:ascii="Arial" w:hAnsi="Arial" w:cs="Arial"/>
          <w:sz w:val="24"/>
          <w:szCs w:val="24"/>
        </w:rPr>
        <w:t xml:space="preserve">need to be updated to match the </w:t>
      </w:r>
      <w:r w:rsidR="00F859A5" w:rsidRPr="00C44661">
        <w:rPr>
          <w:rFonts w:ascii="Arial" w:hAnsi="Arial" w:cs="Arial"/>
          <w:sz w:val="24"/>
          <w:szCs w:val="24"/>
        </w:rPr>
        <w:t xml:space="preserve">latest </w:t>
      </w:r>
      <w:r w:rsidR="00F30067" w:rsidRPr="00C44661">
        <w:rPr>
          <w:rFonts w:ascii="Arial" w:hAnsi="Arial" w:cs="Arial"/>
          <w:sz w:val="24"/>
          <w:szCs w:val="24"/>
        </w:rPr>
        <w:t xml:space="preserve">Job titles. </w:t>
      </w:r>
      <w:r w:rsidR="00327DE0" w:rsidRPr="00C44661">
        <w:rPr>
          <w:rFonts w:ascii="Arial" w:hAnsi="Arial" w:cs="Arial"/>
          <w:sz w:val="24"/>
          <w:szCs w:val="24"/>
        </w:rPr>
        <w:t>(1000)</w:t>
      </w:r>
      <w:bookmarkEnd w:id="0"/>
      <w:r w:rsidR="00A37EE5">
        <w:rPr>
          <w:rFonts w:ascii="Arial" w:hAnsi="Arial" w:cs="Arial"/>
          <w:sz w:val="24"/>
          <w:szCs w:val="24"/>
        </w:rPr>
        <w:t>.</w:t>
      </w:r>
    </w:p>
    <w:p w14:paraId="61D9578F" w14:textId="77777777" w:rsidR="00072C0F" w:rsidRPr="00C44661" w:rsidRDefault="00072C0F" w:rsidP="00072C0F">
      <w:pPr>
        <w:autoSpaceDE w:val="0"/>
        <w:autoSpaceDN w:val="0"/>
        <w:adjustRightInd w:val="0"/>
        <w:spacing w:after="0" w:line="191" w:lineRule="atLeast"/>
        <w:ind w:left="720" w:hanging="720"/>
        <w:jc w:val="both"/>
        <w:rPr>
          <w:rFonts w:ascii="Arial" w:hAnsi="Arial" w:cs="Arial"/>
          <w:sz w:val="24"/>
          <w:szCs w:val="24"/>
        </w:rPr>
      </w:pPr>
    </w:p>
    <w:p w14:paraId="46A26B9C" w14:textId="62E3E6B4" w:rsidR="00310EAD" w:rsidRPr="005C3AC1" w:rsidRDefault="00995348" w:rsidP="00072C0F">
      <w:pPr>
        <w:autoSpaceDE w:val="0"/>
        <w:autoSpaceDN w:val="0"/>
        <w:adjustRightInd w:val="0"/>
        <w:spacing w:after="0" w:line="191" w:lineRule="atLeast"/>
        <w:ind w:left="720" w:hanging="720"/>
        <w:jc w:val="both"/>
        <w:rPr>
          <w:rFonts w:ascii="Arial" w:hAnsi="Arial" w:cs="Arial"/>
          <w:sz w:val="24"/>
          <w:szCs w:val="24"/>
        </w:rPr>
      </w:pPr>
      <w:r w:rsidRPr="00C44661">
        <w:rPr>
          <w:rFonts w:ascii="Arial" w:hAnsi="Arial" w:cs="Arial"/>
          <w:sz w:val="24"/>
          <w:szCs w:val="24"/>
        </w:rPr>
        <w:t>3.4.</w:t>
      </w:r>
      <w:r w:rsidR="0090498F">
        <w:rPr>
          <w:rFonts w:ascii="Arial" w:hAnsi="Arial" w:cs="Arial"/>
          <w:sz w:val="24"/>
          <w:szCs w:val="24"/>
        </w:rPr>
        <w:t>4</w:t>
      </w:r>
      <w:r w:rsidR="000F6CD2" w:rsidRPr="00C44661">
        <w:rPr>
          <w:rFonts w:ascii="Arial" w:hAnsi="Arial" w:cs="Arial"/>
          <w:sz w:val="24"/>
          <w:szCs w:val="24"/>
        </w:rPr>
        <w:tab/>
      </w:r>
      <w:r w:rsidR="00C14CF0" w:rsidRPr="005C3AC1">
        <w:rPr>
          <w:rFonts w:ascii="Arial" w:hAnsi="Arial" w:cs="Arial"/>
          <w:sz w:val="24"/>
          <w:szCs w:val="24"/>
        </w:rPr>
        <w:t xml:space="preserve">The </w:t>
      </w:r>
      <w:r w:rsidR="00A37EE5" w:rsidRPr="005C3AC1">
        <w:rPr>
          <w:rFonts w:ascii="Arial" w:hAnsi="Arial" w:cs="Arial"/>
          <w:sz w:val="24"/>
          <w:szCs w:val="24"/>
        </w:rPr>
        <w:t xml:space="preserve">Council’s own </w:t>
      </w:r>
      <w:r w:rsidR="00C14CF0" w:rsidRPr="005C3AC1">
        <w:rPr>
          <w:rFonts w:ascii="Arial" w:hAnsi="Arial" w:cs="Arial"/>
          <w:sz w:val="24"/>
          <w:szCs w:val="24"/>
        </w:rPr>
        <w:t xml:space="preserve">internal </w:t>
      </w:r>
      <w:r w:rsidR="00420154" w:rsidRPr="005C3AC1">
        <w:rPr>
          <w:rFonts w:ascii="Arial" w:hAnsi="Arial" w:cs="Arial"/>
          <w:sz w:val="24"/>
          <w:szCs w:val="24"/>
        </w:rPr>
        <w:t xml:space="preserve">review </w:t>
      </w:r>
      <w:r w:rsidR="00A37EE5" w:rsidRPr="005C3AC1">
        <w:rPr>
          <w:rFonts w:ascii="Arial" w:hAnsi="Arial" w:cs="Arial"/>
          <w:sz w:val="24"/>
          <w:szCs w:val="24"/>
        </w:rPr>
        <w:t>h</w:t>
      </w:r>
      <w:r w:rsidR="00420154" w:rsidRPr="005C3AC1">
        <w:rPr>
          <w:rFonts w:ascii="Arial" w:hAnsi="Arial" w:cs="Arial"/>
          <w:sz w:val="24"/>
          <w:szCs w:val="24"/>
        </w:rPr>
        <w:t xml:space="preserve">ad identified </w:t>
      </w:r>
      <w:r w:rsidR="00302939" w:rsidRPr="005C3AC1">
        <w:rPr>
          <w:rFonts w:ascii="Arial" w:hAnsi="Arial" w:cs="Arial"/>
          <w:sz w:val="24"/>
          <w:szCs w:val="24"/>
        </w:rPr>
        <w:t>that the</w:t>
      </w:r>
      <w:r w:rsidR="00A37EE5" w:rsidRPr="005C3AC1">
        <w:rPr>
          <w:rFonts w:ascii="Arial" w:hAnsi="Arial" w:cs="Arial"/>
          <w:sz w:val="24"/>
          <w:szCs w:val="24"/>
        </w:rPr>
        <w:t>y</w:t>
      </w:r>
      <w:r w:rsidR="006F2EC0" w:rsidRPr="005C3AC1">
        <w:rPr>
          <w:rFonts w:ascii="Arial" w:hAnsi="Arial" w:cs="Arial"/>
          <w:sz w:val="24"/>
          <w:szCs w:val="24"/>
        </w:rPr>
        <w:t xml:space="preserve"> had not </w:t>
      </w:r>
      <w:r w:rsidR="002E4E7D" w:rsidRPr="005C3AC1">
        <w:rPr>
          <w:rFonts w:ascii="Arial" w:hAnsi="Arial" w:cs="Arial"/>
          <w:sz w:val="24"/>
          <w:szCs w:val="24"/>
        </w:rPr>
        <w:t xml:space="preserve">assessed how they compare themselves against </w:t>
      </w:r>
      <w:r w:rsidR="00327DE0" w:rsidRPr="005C3AC1">
        <w:rPr>
          <w:rFonts w:ascii="Arial" w:hAnsi="Arial" w:cs="Arial"/>
          <w:sz w:val="24"/>
          <w:szCs w:val="24"/>
        </w:rPr>
        <w:t>CIPFA’s Code</w:t>
      </w:r>
      <w:r w:rsidR="00AB47CA" w:rsidRPr="005C3AC1">
        <w:rPr>
          <w:rFonts w:ascii="Arial" w:hAnsi="Arial" w:cs="Arial"/>
          <w:sz w:val="24"/>
          <w:szCs w:val="24"/>
        </w:rPr>
        <w:t xml:space="preserve"> of Practice on Managing the Risk of Fraud and Corruption</w:t>
      </w:r>
      <w:r w:rsidR="00327DE0" w:rsidRPr="005C3AC1">
        <w:rPr>
          <w:rFonts w:ascii="Arial" w:hAnsi="Arial" w:cs="Arial"/>
          <w:sz w:val="24"/>
          <w:szCs w:val="24"/>
        </w:rPr>
        <w:t xml:space="preserve"> (2120)</w:t>
      </w:r>
      <w:r w:rsidR="00961C93" w:rsidRPr="005C3AC1">
        <w:rPr>
          <w:rFonts w:ascii="Arial" w:hAnsi="Arial" w:cs="Arial"/>
          <w:sz w:val="24"/>
          <w:szCs w:val="24"/>
        </w:rPr>
        <w:t>.</w:t>
      </w:r>
      <w:r w:rsidR="00B52770" w:rsidRPr="005C3AC1">
        <w:rPr>
          <w:rFonts w:ascii="Arial" w:hAnsi="Arial" w:cs="Arial"/>
          <w:sz w:val="24"/>
          <w:szCs w:val="24"/>
        </w:rPr>
        <w:t xml:space="preserve"> </w:t>
      </w:r>
      <w:r w:rsidR="009B037E" w:rsidRPr="005C3AC1">
        <w:rPr>
          <w:rFonts w:ascii="Arial" w:hAnsi="Arial" w:cs="Arial"/>
          <w:sz w:val="24"/>
          <w:szCs w:val="24"/>
        </w:rPr>
        <w:t xml:space="preserve">This </w:t>
      </w:r>
      <w:r w:rsidR="00A37EE5" w:rsidRPr="005C3AC1">
        <w:rPr>
          <w:rFonts w:ascii="Arial" w:hAnsi="Arial" w:cs="Arial"/>
          <w:sz w:val="24"/>
          <w:szCs w:val="24"/>
        </w:rPr>
        <w:t xml:space="preserve">has therefore been </w:t>
      </w:r>
      <w:r w:rsidR="009B037E" w:rsidRPr="005C3AC1">
        <w:rPr>
          <w:rFonts w:ascii="Arial" w:hAnsi="Arial" w:cs="Arial"/>
          <w:sz w:val="24"/>
          <w:szCs w:val="24"/>
        </w:rPr>
        <w:t>included in the 2022/3 Annual Governance Statement</w:t>
      </w:r>
      <w:r w:rsidR="00A37EE5" w:rsidRPr="005C3AC1">
        <w:rPr>
          <w:rFonts w:ascii="Arial" w:hAnsi="Arial" w:cs="Arial"/>
          <w:sz w:val="24"/>
          <w:szCs w:val="24"/>
        </w:rPr>
        <w:t>.</w:t>
      </w:r>
    </w:p>
    <w:p w14:paraId="72790154" w14:textId="77777777" w:rsidR="00D60287" w:rsidRPr="00C44661" w:rsidRDefault="00D60287" w:rsidP="00072C0F">
      <w:pPr>
        <w:autoSpaceDE w:val="0"/>
        <w:autoSpaceDN w:val="0"/>
        <w:adjustRightInd w:val="0"/>
        <w:spacing w:after="0" w:line="191" w:lineRule="atLeast"/>
        <w:ind w:left="720" w:hanging="720"/>
        <w:jc w:val="both"/>
        <w:rPr>
          <w:rFonts w:ascii="Arial" w:hAnsi="Arial" w:cs="Arial"/>
          <w:sz w:val="24"/>
          <w:szCs w:val="24"/>
        </w:rPr>
      </w:pPr>
    </w:p>
    <w:p w14:paraId="1F813A75" w14:textId="727088BC" w:rsidR="00961C93" w:rsidRPr="000F6CD2" w:rsidRDefault="00961C93" w:rsidP="00072C0F">
      <w:pPr>
        <w:autoSpaceDE w:val="0"/>
        <w:autoSpaceDN w:val="0"/>
        <w:adjustRightInd w:val="0"/>
        <w:spacing w:after="0" w:line="191" w:lineRule="atLeast"/>
        <w:ind w:left="720" w:hanging="720"/>
        <w:jc w:val="both"/>
        <w:rPr>
          <w:rFonts w:ascii="Arial" w:hAnsi="Arial" w:cs="Arial"/>
          <w:sz w:val="24"/>
          <w:szCs w:val="24"/>
        </w:rPr>
      </w:pPr>
      <w:r w:rsidRPr="00C44661">
        <w:rPr>
          <w:rFonts w:ascii="Arial" w:hAnsi="Arial" w:cs="Arial"/>
          <w:sz w:val="24"/>
          <w:szCs w:val="24"/>
        </w:rPr>
        <w:t>3.4.</w:t>
      </w:r>
      <w:r w:rsidR="0090498F">
        <w:rPr>
          <w:rFonts w:ascii="Arial" w:hAnsi="Arial" w:cs="Arial"/>
          <w:sz w:val="24"/>
          <w:szCs w:val="24"/>
        </w:rPr>
        <w:t>5</w:t>
      </w:r>
      <w:r w:rsidR="00C44661">
        <w:rPr>
          <w:rFonts w:ascii="Arial" w:hAnsi="Arial" w:cs="Arial"/>
          <w:sz w:val="24"/>
          <w:szCs w:val="24"/>
        </w:rPr>
        <w:tab/>
      </w:r>
      <w:r w:rsidRPr="00C44661">
        <w:rPr>
          <w:rFonts w:ascii="Arial" w:hAnsi="Arial" w:cs="Arial"/>
          <w:sz w:val="24"/>
          <w:szCs w:val="24"/>
        </w:rPr>
        <w:t>The Annual Opinion Report does not include</w:t>
      </w:r>
      <w:r w:rsidR="008139D4" w:rsidRPr="00C44661">
        <w:rPr>
          <w:rFonts w:ascii="Arial" w:hAnsi="Arial" w:cs="Arial"/>
          <w:sz w:val="24"/>
          <w:szCs w:val="24"/>
        </w:rPr>
        <w:t xml:space="preserve"> </w:t>
      </w:r>
      <w:r w:rsidR="00202E44" w:rsidRPr="00C44661">
        <w:rPr>
          <w:rFonts w:ascii="Arial" w:hAnsi="Arial" w:cs="Arial"/>
          <w:sz w:val="24"/>
          <w:szCs w:val="24"/>
        </w:rPr>
        <w:t>an</w:t>
      </w:r>
      <w:r w:rsidR="008139D4" w:rsidRPr="00C44661">
        <w:rPr>
          <w:rFonts w:ascii="Arial" w:hAnsi="Arial" w:cs="Arial"/>
          <w:sz w:val="24"/>
          <w:szCs w:val="24"/>
        </w:rPr>
        <w:t>y spe</w:t>
      </w:r>
      <w:r w:rsidR="00D60287" w:rsidRPr="00C44661">
        <w:rPr>
          <w:rFonts w:ascii="Arial" w:hAnsi="Arial" w:cs="Arial"/>
          <w:sz w:val="24"/>
          <w:szCs w:val="24"/>
        </w:rPr>
        <w:t>ci</w:t>
      </w:r>
      <w:r w:rsidR="008139D4" w:rsidRPr="00C44661">
        <w:rPr>
          <w:rFonts w:ascii="Arial" w:hAnsi="Arial" w:cs="Arial"/>
          <w:sz w:val="24"/>
          <w:szCs w:val="24"/>
        </w:rPr>
        <w:t>fic referenc</w:t>
      </w:r>
      <w:r w:rsidR="00D60287" w:rsidRPr="00C44661">
        <w:rPr>
          <w:rFonts w:ascii="Arial" w:hAnsi="Arial" w:cs="Arial"/>
          <w:sz w:val="24"/>
          <w:szCs w:val="24"/>
        </w:rPr>
        <w:t>e to any</w:t>
      </w:r>
      <w:r w:rsidR="008139D4" w:rsidRPr="00C44661">
        <w:rPr>
          <w:rFonts w:ascii="Arial" w:hAnsi="Arial" w:cs="Arial"/>
          <w:sz w:val="24"/>
          <w:szCs w:val="24"/>
        </w:rPr>
        <w:t xml:space="preserve"> scope or resource limitations </w:t>
      </w:r>
      <w:r w:rsidR="00D60287" w:rsidRPr="00C44661">
        <w:rPr>
          <w:rFonts w:ascii="Arial" w:hAnsi="Arial" w:cs="Arial"/>
          <w:sz w:val="24"/>
          <w:szCs w:val="24"/>
        </w:rPr>
        <w:t xml:space="preserve">placed on the </w:t>
      </w:r>
      <w:r w:rsidR="00E97B3C" w:rsidRPr="00C44661">
        <w:rPr>
          <w:rFonts w:ascii="Arial" w:hAnsi="Arial" w:cs="Arial"/>
          <w:sz w:val="24"/>
          <w:szCs w:val="24"/>
        </w:rPr>
        <w:t>service during the year</w:t>
      </w:r>
      <w:r w:rsidR="00B567AE" w:rsidRPr="00C44661">
        <w:rPr>
          <w:rFonts w:ascii="Arial" w:hAnsi="Arial" w:cs="Arial"/>
          <w:sz w:val="24"/>
          <w:szCs w:val="24"/>
        </w:rPr>
        <w:t xml:space="preserve"> or any other issues that the CAE judges is relevant to the preparation of the </w:t>
      </w:r>
      <w:r w:rsidR="00A64A84" w:rsidRPr="00C44661">
        <w:rPr>
          <w:rFonts w:ascii="Arial" w:hAnsi="Arial" w:cs="Arial"/>
          <w:sz w:val="24"/>
          <w:szCs w:val="24"/>
        </w:rPr>
        <w:t>governance</w:t>
      </w:r>
      <w:r w:rsidR="00B567AE" w:rsidRPr="00C44661">
        <w:rPr>
          <w:rFonts w:ascii="Arial" w:hAnsi="Arial" w:cs="Arial"/>
          <w:sz w:val="24"/>
          <w:szCs w:val="24"/>
        </w:rPr>
        <w:t xml:space="preserve"> sta</w:t>
      </w:r>
      <w:r w:rsidR="0037514C" w:rsidRPr="00C44661">
        <w:rPr>
          <w:rFonts w:ascii="Arial" w:hAnsi="Arial" w:cs="Arial"/>
          <w:sz w:val="24"/>
          <w:szCs w:val="24"/>
        </w:rPr>
        <w:t>t</w:t>
      </w:r>
      <w:r w:rsidR="00B567AE" w:rsidRPr="00C44661">
        <w:rPr>
          <w:rFonts w:ascii="Arial" w:hAnsi="Arial" w:cs="Arial"/>
          <w:sz w:val="24"/>
          <w:szCs w:val="24"/>
        </w:rPr>
        <w:t>ement</w:t>
      </w:r>
      <w:r w:rsidR="00E97B3C" w:rsidRPr="00C44661">
        <w:rPr>
          <w:rFonts w:ascii="Arial" w:hAnsi="Arial" w:cs="Arial"/>
          <w:sz w:val="24"/>
          <w:szCs w:val="24"/>
        </w:rPr>
        <w:t>. (2450)</w:t>
      </w:r>
      <w:r w:rsidR="00A37EE5">
        <w:rPr>
          <w:rFonts w:ascii="Arial" w:hAnsi="Arial" w:cs="Arial"/>
          <w:sz w:val="24"/>
          <w:szCs w:val="24"/>
        </w:rPr>
        <w:t>.</w:t>
      </w:r>
    </w:p>
    <w:p w14:paraId="330258F8" w14:textId="79D9016B" w:rsidR="001D658D" w:rsidRPr="004F4F22" w:rsidRDefault="001D658D" w:rsidP="004F4F22">
      <w:pPr>
        <w:rPr>
          <w:rFonts w:ascii="Arial" w:hAnsi="Arial" w:cs="Arial"/>
          <w:iCs/>
          <w:sz w:val="24"/>
          <w:szCs w:val="24"/>
        </w:rPr>
      </w:pPr>
    </w:p>
    <w:p w14:paraId="07F50A8C" w14:textId="151853B8" w:rsidR="00E73695" w:rsidRDefault="00E73695" w:rsidP="00E73695">
      <w:pPr>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b/>
          <w:sz w:val="24"/>
          <w:szCs w:val="24"/>
          <w:lang w:eastAsia="en-GB"/>
        </w:rPr>
        <w:t>3.5</w:t>
      </w:r>
      <w:r>
        <w:rPr>
          <w:rFonts w:ascii="Arial" w:eastAsia="Times New Roman" w:hAnsi="Arial" w:cs="Arial"/>
          <w:b/>
          <w:sz w:val="24"/>
          <w:szCs w:val="24"/>
          <w:lang w:eastAsia="en-GB"/>
        </w:rPr>
        <w:tab/>
        <w:t xml:space="preserve">PSIAS Action Table </w:t>
      </w:r>
      <w:r>
        <w:rPr>
          <w:rFonts w:ascii="Arial" w:eastAsia="Times New Roman" w:hAnsi="Arial" w:cs="Arial"/>
          <w:sz w:val="24"/>
          <w:szCs w:val="24"/>
          <w:lang w:eastAsia="en-GB"/>
        </w:rPr>
        <w:t>(Details any suggested actions to improve the service, its status or impact and quality of the service provided) Appendix C</w:t>
      </w:r>
      <w:r w:rsidR="00A37EE5">
        <w:rPr>
          <w:rFonts w:ascii="Arial" w:eastAsia="Times New Roman" w:hAnsi="Arial" w:cs="Arial"/>
          <w:sz w:val="24"/>
          <w:szCs w:val="24"/>
          <w:lang w:eastAsia="en-GB"/>
        </w:rPr>
        <w:t>.</w:t>
      </w:r>
    </w:p>
    <w:p w14:paraId="5EA2519B" w14:textId="77777777" w:rsidR="00E73695" w:rsidRDefault="00E73695" w:rsidP="00E73695">
      <w:pPr>
        <w:rPr>
          <w:rFonts w:eastAsia="Times New Roman" w:cs="Arial"/>
          <w:sz w:val="24"/>
          <w:szCs w:val="24"/>
          <w:lang w:eastAsia="en-GB"/>
        </w:rPr>
      </w:pPr>
      <w:r>
        <w:rPr>
          <w:rFonts w:eastAsia="Times New Roman" w:cs="Arial"/>
          <w:sz w:val="24"/>
          <w:szCs w:val="24"/>
          <w:lang w:eastAsia="en-GB"/>
        </w:rPr>
        <w:br w:type="page"/>
      </w:r>
    </w:p>
    <w:p w14:paraId="1421A2B8" w14:textId="77777777" w:rsidR="00E73695" w:rsidRDefault="00E73695" w:rsidP="00E73695">
      <w:pPr>
        <w:spacing w:after="0" w:line="240" w:lineRule="auto"/>
        <w:ind w:left="720" w:hanging="11"/>
        <w:jc w:val="both"/>
        <w:rPr>
          <w:rFonts w:eastAsia="Times New Roman" w:cs="Arial"/>
          <w:sz w:val="24"/>
          <w:szCs w:val="24"/>
          <w:lang w:eastAsia="en-GB"/>
        </w:rPr>
      </w:pPr>
    </w:p>
    <w:p w14:paraId="696C2689" w14:textId="77777777" w:rsidR="00E73695" w:rsidRDefault="00E73695" w:rsidP="00E73695">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t>Appendix A</w:t>
      </w:r>
    </w:p>
    <w:p w14:paraId="750F50B9" w14:textId="77777777" w:rsidR="00E73695" w:rsidRDefault="00E73695" w:rsidP="00E73695">
      <w:pPr>
        <w:spacing w:after="0" w:line="240" w:lineRule="auto"/>
        <w:jc w:val="right"/>
        <w:rPr>
          <w:rFonts w:ascii="Arial" w:eastAsia="Times New Roman" w:hAnsi="Arial" w:cs="Arial"/>
          <w:b/>
          <w:sz w:val="24"/>
          <w:szCs w:val="24"/>
          <w:lang w:eastAsia="en-GB"/>
        </w:rPr>
      </w:pPr>
    </w:p>
    <w:p w14:paraId="6798CC2E" w14:textId="77777777" w:rsidR="00E73695" w:rsidRDefault="00E73695" w:rsidP="00E73695">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Review Team</w:t>
      </w:r>
    </w:p>
    <w:p w14:paraId="15E145F5" w14:textId="77777777" w:rsidR="008821B5" w:rsidRDefault="008821B5" w:rsidP="003F4B75">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lang w:val="en-US"/>
        </w:rPr>
        <w:t>Colin Ferguson</w:t>
      </w:r>
      <w:r>
        <w:rPr>
          <w:rStyle w:val="eop"/>
          <w:rFonts w:ascii="Arial" w:hAnsi="Arial" w:cs="Arial"/>
          <w:b/>
          <w:bCs/>
        </w:rPr>
        <w:t> </w:t>
      </w:r>
    </w:p>
    <w:p w14:paraId="7E458B36" w14:textId="77777777" w:rsidR="008821B5" w:rsidRDefault="008821B5" w:rsidP="008821B5">
      <w:pPr>
        <w:pStyle w:val="paragraph"/>
        <w:spacing w:before="0" w:beforeAutospacing="0" w:after="0" w:afterAutospacing="0"/>
        <w:ind w:left="90"/>
        <w:textAlignment w:val="baseline"/>
        <w:rPr>
          <w:rFonts w:ascii="Segoe UI" w:hAnsi="Segoe UI" w:cs="Segoe UI"/>
          <w:b/>
          <w:bCs/>
          <w:sz w:val="18"/>
          <w:szCs w:val="18"/>
        </w:rPr>
      </w:pPr>
      <w:r>
        <w:rPr>
          <w:rStyle w:val="eop"/>
          <w:rFonts w:ascii="Arial" w:hAnsi="Arial" w:cs="Arial"/>
          <w:b/>
          <w:bCs/>
        </w:rPr>
        <w:t> </w:t>
      </w:r>
    </w:p>
    <w:p w14:paraId="4CFA9432" w14:textId="77777777" w:rsidR="008821B5" w:rsidRDefault="008821B5" w:rsidP="003F4B75">
      <w:pPr>
        <w:pStyle w:val="paragraph"/>
        <w:spacing w:before="0" w:beforeAutospacing="0" w:after="0" w:afterAutospacing="0"/>
        <w:ind w:right="135"/>
        <w:textAlignment w:val="baseline"/>
        <w:rPr>
          <w:rFonts w:ascii="Segoe UI" w:hAnsi="Segoe UI" w:cs="Segoe UI"/>
          <w:sz w:val="18"/>
          <w:szCs w:val="18"/>
        </w:rPr>
      </w:pPr>
      <w:r w:rsidRPr="003F4B75">
        <w:rPr>
          <w:rStyle w:val="normaltextrun"/>
          <w:rFonts w:ascii="Arial" w:hAnsi="Arial" w:cs="Arial"/>
          <w:lang w:val="en-US"/>
        </w:rPr>
        <w:t>Colin is a fully qualified member of the Association of Chartered Certified Accountant with 31 years’ experience of internal audit in the local government sector. He is currently Head of Audit &amp; Assurance for Blackburn with Darwen Borough Council.  Colin started his finance career working in external audit in the private sector with KPMG. Prior to joining Blackburn Colin worked in internal audit with Lancashire County Council. Colin manages the preparation and delivery of the Blackburn annual audit plan across a wide range of Council services and schools. His responsibilities also include insurance and risk management</w:t>
      </w:r>
      <w:r>
        <w:rPr>
          <w:rStyle w:val="normaltextrun"/>
          <w:rFonts w:ascii="Arial" w:hAnsi="Arial" w:cs="Arial"/>
          <w:sz w:val="22"/>
          <w:szCs w:val="22"/>
          <w:lang w:val="en-US"/>
        </w:rPr>
        <w:t>.</w:t>
      </w:r>
      <w:r>
        <w:rPr>
          <w:rStyle w:val="eop"/>
          <w:rFonts w:ascii="Arial" w:hAnsi="Arial" w:cs="Arial"/>
          <w:sz w:val="22"/>
          <w:szCs w:val="22"/>
        </w:rPr>
        <w:t> </w:t>
      </w:r>
    </w:p>
    <w:p w14:paraId="2BA1A637" w14:textId="77777777" w:rsidR="009B7BCE" w:rsidRDefault="009B7BCE" w:rsidP="00720D63">
      <w:pPr>
        <w:spacing w:after="0" w:line="240" w:lineRule="auto"/>
        <w:rPr>
          <w:rFonts w:ascii="Arial" w:eastAsia="Times New Roman" w:hAnsi="Arial" w:cs="Arial"/>
          <w:b/>
          <w:sz w:val="24"/>
          <w:szCs w:val="24"/>
          <w:lang w:eastAsia="en-GB"/>
        </w:rPr>
      </w:pPr>
    </w:p>
    <w:p w14:paraId="21A9125E" w14:textId="1E6BE0F4" w:rsidR="00720D63" w:rsidRDefault="00720D63" w:rsidP="00720D63">
      <w:pPr>
        <w:spacing w:after="0" w:line="240" w:lineRule="auto"/>
        <w:rPr>
          <w:rFonts w:ascii="Arial" w:eastAsia="Times New Roman" w:hAnsi="Arial" w:cs="Arial"/>
          <w:b/>
          <w:sz w:val="24"/>
          <w:szCs w:val="24"/>
          <w:lang w:eastAsia="en-GB"/>
        </w:rPr>
      </w:pPr>
      <w:r w:rsidRPr="001C2380">
        <w:rPr>
          <w:rFonts w:ascii="Arial" w:eastAsia="Times New Roman" w:hAnsi="Arial" w:cs="Arial"/>
          <w:b/>
          <w:sz w:val="24"/>
          <w:szCs w:val="24"/>
          <w:lang w:eastAsia="en-GB"/>
        </w:rPr>
        <w:t xml:space="preserve">Dawn </w:t>
      </w:r>
      <w:r w:rsidR="00421405">
        <w:rPr>
          <w:rFonts w:ascii="Arial" w:eastAsia="Times New Roman" w:hAnsi="Arial" w:cs="Arial"/>
          <w:b/>
          <w:sz w:val="24"/>
          <w:szCs w:val="24"/>
          <w:lang w:eastAsia="en-GB"/>
        </w:rPr>
        <w:t>Allen</w:t>
      </w:r>
    </w:p>
    <w:p w14:paraId="6E326169" w14:textId="77777777" w:rsidR="00720D63" w:rsidRDefault="00720D63" w:rsidP="00720D63">
      <w:pPr>
        <w:spacing w:after="0" w:line="240" w:lineRule="auto"/>
        <w:rPr>
          <w:rFonts w:ascii="Arial" w:eastAsia="Times New Roman" w:hAnsi="Arial" w:cs="Arial"/>
          <w:b/>
          <w:sz w:val="24"/>
          <w:szCs w:val="24"/>
          <w:lang w:eastAsia="en-GB"/>
        </w:rPr>
      </w:pPr>
    </w:p>
    <w:p w14:paraId="25CD348E" w14:textId="6FD96EFA" w:rsidR="00123D9E" w:rsidRDefault="00D50CB7" w:rsidP="00E73695">
      <w:pPr>
        <w:spacing w:after="0" w:line="240" w:lineRule="auto"/>
        <w:rPr>
          <w:rFonts w:ascii="Arial" w:eastAsia="Times New Roman" w:hAnsi="Arial" w:cs="Arial"/>
          <w:sz w:val="24"/>
          <w:szCs w:val="24"/>
          <w:lang w:eastAsia="en-GB"/>
        </w:rPr>
      </w:pPr>
      <w:r w:rsidRPr="00D50CB7">
        <w:rPr>
          <w:rFonts w:ascii="Arial" w:eastAsia="Times New Roman" w:hAnsi="Arial" w:cs="Arial"/>
          <w:sz w:val="24"/>
          <w:szCs w:val="24"/>
          <w:lang w:eastAsia="en-GB"/>
        </w:rPr>
        <w:t>Dawn is the Audit, Risk and Performance Lead at Wyre Borough Council and has over 20 years of audit experience. She is a fully qualified member of the Association of Accounting Technicians, has completed her IIA Certificate in Internal Audit and Business Risk and is currently gathering her evidence base to become a fully qualified Chartered Internal Auditor through the Institute of Internal Auditors experience route.</w:t>
      </w:r>
    </w:p>
    <w:p w14:paraId="5BFEDCD0" w14:textId="77777777" w:rsidR="00E73695" w:rsidRDefault="00E73695" w:rsidP="00E73695">
      <w:pPr>
        <w:spacing w:after="0" w:line="240" w:lineRule="auto"/>
        <w:rPr>
          <w:rFonts w:ascii="Arial" w:eastAsia="Times New Roman" w:hAnsi="Arial" w:cs="Arial"/>
          <w:sz w:val="24"/>
          <w:szCs w:val="24"/>
          <w:lang w:eastAsia="en-GB"/>
        </w:rPr>
      </w:pPr>
    </w:p>
    <w:p w14:paraId="5B6A0688" w14:textId="28EACB70" w:rsidR="00E73695" w:rsidRPr="00394B1C" w:rsidRDefault="00B96082" w:rsidP="00E73695">
      <w:pPr>
        <w:spacing w:after="0" w:line="240" w:lineRule="auto"/>
        <w:rPr>
          <w:rFonts w:ascii="Arial" w:eastAsia="Times New Roman" w:hAnsi="Arial" w:cs="Arial"/>
          <w:b/>
          <w:bCs/>
          <w:sz w:val="24"/>
          <w:szCs w:val="24"/>
          <w:lang w:eastAsia="en-GB"/>
        </w:rPr>
      </w:pPr>
      <w:r w:rsidRPr="00394B1C">
        <w:rPr>
          <w:rFonts w:ascii="Arial" w:eastAsia="Times New Roman" w:hAnsi="Arial" w:cs="Arial"/>
          <w:b/>
          <w:bCs/>
          <w:sz w:val="24"/>
          <w:szCs w:val="24"/>
          <w:lang w:eastAsia="en-GB"/>
        </w:rPr>
        <w:t>Ian Evenett</w:t>
      </w:r>
    </w:p>
    <w:p w14:paraId="5E359752" w14:textId="77777777" w:rsidR="00720D63" w:rsidRPr="00123D9E" w:rsidRDefault="00720D63" w:rsidP="00E73695">
      <w:pPr>
        <w:spacing w:after="0" w:line="240" w:lineRule="auto"/>
        <w:rPr>
          <w:rFonts w:ascii="Arial" w:eastAsia="Times New Roman" w:hAnsi="Arial" w:cs="Arial"/>
          <w:sz w:val="24"/>
          <w:szCs w:val="24"/>
          <w:lang w:eastAsia="en-GB"/>
        </w:rPr>
      </w:pPr>
    </w:p>
    <w:p w14:paraId="09A331D8" w14:textId="760A5F44" w:rsidR="00DF00C7" w:rsidRPr="008B6E8F" w:rsidRDefault="00DF00C7" w:rsidP="00DF00C7">
      <w:pPr>
        <w:spacing w:after="0" w:line="240" w:lineRule="auto"/>
        <w:rPr>
          <w:rFonts w:ascii="Arial" w:eastAsia="Times New Roman" w:hAnsi="Arial" w:cs="Arial"/>
          <w:sz w:val="24"/>
          <w:szCs w:val="24"/>
          <w:lang w:eastAsia="en-GB"/>
        </w:rPr>
      </w:pPr>
      <w:r w:rsidRPr="008B6E8F">
        <w:rPr>
          <w:rFonts w:ascii="Arial" w:eastAsia="Times New Roman" w:hAnsi="Arial" w:cs="Arial"/>
          <w:sz w:val="24"/>
          <w:szCs w:val="24"/>
          <w:lang w:eastAsia="en-GB"/>
        </w:rPr>
        <w:t xml:space="preserve">Ian is the </w:t>
      </w:r>
      <w:r>
        <w:rPr>
          <w:rFonts w:ascii="Arial" w:eastAsia="Times New Roman" w:hAnsi="Arial" w:cs="Arial"/>
          <w:sz w:val="24"/>
          <w:szCs w:val="24"/>
          <w:lang w:eastAsia="en-GB"/>
        </w:rPr>
        <w:t>Internal Audit Manager</w:t>
      </w:r>
      <w:r w:rsidRPr="008B6E8F">
        <w:rPr>
          <w:rFonts w:ascii="Arial" w:eastAsia="Times New Roman" w:hAnsi="Arial" w:cs="Arial"/>
          <w:sz w:val="24"/>
          <w:szCs w:val="24"/>
          <w:lang w:eastAsia="en-GB"/>
        </w:rPr>
        <w:t xml:space="preserve"> at Burnley Borough Council. His internal audit experience spans over 30 years. He is a part qualified member of </w:t>
      </w:r>
      <w:r w:rsidR="00B96082" w:rsidRPr="008B6E8F">
        <w:rPr>
          <w:rFonts w:ascii="Arial" w:eastAsia="Times New Roman" w:hAnsi="Arial" w:cs="Arial"/>
          <w:sz w:val="24"/>
          <w:szCs w:val="24"/>
          <w:lang w:eastAsia="en-GB"/>
        </w:rPr>
        <w:t>CIPFA and</w:t>
      </w:r>
      <w:r w:rsidRPr="008B6E8F">
        <w:rPr>
          <w:rFonts w:ascii="Arial" w:eastAsia="Times New Roman" w:hAnsi="Arial" w:cs="Arial"/>
          <w:sz w:val="24"/>
          <w:szCs w:val="24"/>
          <w:lang w:eastAsia="en-GB"/>
        </w:rPr>
        <w:t xml:space="preserve"> has specialisms in computer and contract audit areas. </w:t>
      </w:r>
      <w:r w:rsidR="004D2FEC">
        <w:rPr>
          <w:rFonts w:ascii="Arial" w:eastAsia="Times New Roman" w:hAnsi="Arial" w:cs="Arial"/>
          <w:sz w:val="24"/>
          <w:szCs w:val="24"/>
          <w:lang w:eastAsia="en-GB"/>
        </w:rPr>
        <w:t xml:space="preserve">His </w:t>
      </w:r>
      <w:r w:rsidR="00DE3B15">
        <w:rPr>
          <w:rFonts w:ascii="Arial" w:eastAsia="Times New Roman" w:hAnsi="Arial" w:cs="Arial"/>
          <w:sz w:val="24"/>
          <w:szCs w:val="24"/>
          <w:lang w:eastAsia="en-GB"/>
        </w:rPr>
        <w:t>experience includes London Authorities and District Councils.</w:t>
      </w:r>
    </w:p>
    <w:p w14:paraId="0D8969A0" w14:textId="77777777" w:rsidR="00E73695" w:rsidRDefault="00E73695" w:rsidP="00E73695">
      <w:pPr>
        <w:spacing w:after="0" w:line="240" w:lineRule="auto"/>
        <w:rPr>
          <w:rFonts w:eastAsia="Times New Roman" w:cs="Arial"/>
          <w:sz w:val="24"/>
          <w:szCs w:val="24"/>
          <w:lang w:eastAsia="en-GB"/>
        </w:rPr>
      </w:pPr>
    </w:p>
    <w:p w14:paraId="6BA5C6E9" w14:textId="77777777" w:rsidR="00E73695" w:rsidRDefault="00E73695" w:rsidP="00E73695">
      <w:pPr>
        <w:spacing w:after="0" w:line="240" w:lineRule="auto"/>
        <w:rPr>
          <w:rFonts w:eastAsia="Times New Roman" w:cs="Arial"/>
          <w:sz w:val="24"/>
          <w:szCs w:val="24"/>
          <w:lang w:eastAsia="en-GB"/>
        </w:rPr>
      </w:pPr>
    </w:p>
    <w:p w14:paraId="51CCC3CB" w14:textId="77777777" w:rsidR="00E73695" w:rsidRDefault="00E73695" w:rsidP="00E73695">
      <w:pPr>
        <w:spacing w:after="0" w:line="240" w:lineRule="auto"/>
        <w:rPr>
          <w:rFonts w:eastAsia="Times New Roman" w:cs="Arial"/>
          <w:sz w:val="24"/>
          <w:szCs w:val="24"/>
          <w:lang w:eastAsia="en-GB"/>
        </w:rPr>
      </w:pPr>
    </w:p>
    <w:p w14:paraId="378012FF" w14:textId="77777777" w:rsidR="00E73695" w:rsidRDefault="00E73695" w:rsidP="00E73695">
      <w:pPr>
        <w:spacing w:after="0" w:line="240" w:lineRule="auto"/>
        <w:jc w:val="right"/>
        <w:rPr>
          <w:rFonts w:eastAsia="Times New Roman" w:cs="Arial"/>
          <w:b/>
          <w:sz w:val="24"/>
          <w:szCs w:val="24"/>
          <w:lang w:eastAsia="en-GB"/>
        </w:rPr>
      </w:pPr>
    </w:p>
    <w:p w14:paraId="476588B8" w14:textId="77777777" w:rsidR="00E73695" w:rsidRDefault="00E73695" w:rsidP="00E73695">
      <w:pPr>
        <w:spacing w:after="0" w:line="240" w:lineRule="auto"/>
        <w:jc w:val="right"/>
        <w:rPr>
          <w:rFonts w:eastAsia="Times New Roman" w:cs="Arial"/>
          <w:b/>
          <w:sz w:val="24"/>
          <w:szCs w:val="24"/>
          <w:lang w:eastAsia="en-GB"/>
        </w:rPr>
      </w:pPr>
    </w:p>
    <w:p w14:paraId="1D3ACAA5" w14:textId="77777777" w:rsidR="00E73695" w:rsidRDefault="00E73695" w:rsidP="00E73695">
      <w:pPr>
        <w:spacing w:after="0" w:line="240" w:lineRule="auto"/>
        <w:jc w:val="right"/>
        <w:rPr>
          <w:rFonts w:eastAsia="Times New Roman" w:cs="Arial"/>
          <w:b/>
          <w:sz w:val="24"/>
          <w:szCs w:val="24"/>
          <w:lang w:eastAsia="en-GB"/>
        </w:rPr>
      </w:pPr>
    </w:p>
    <w:p w14:paraId="737CE093" w14:textId="77777777" w:rsidR="00E73695" w:rsidRDefault="00E73695" w:rsidP="00E73695">
      <w:pPr>
        <w:spacing w:after="0" w:line="240" w:lineRule="auto"/>
        <w:jc w:val="right"/>
        <w:rPr>
          <w:rFonts w:eastAsia="Times New Roman" w:cs="Arial"/>
          <w:b/>
          <w:sz w:val="24"/>
          <w:szCs w:val="24"/>
          <w:lang w:eastAsia="en-GB"/>
        </w:rPr>
      </w:pPr>
    </w:p>
    <w:p w14:paraId="18C04FEE" w14:textId="77777777" w:rsidR="00E73695" w:rsidRDefault="00E73695" w:rsidP="00E73695">
      <w:pPr>
        <w:spacing w:after="0" w:line="240" w:lineRule="auto"/>
        <w:jc w:val="right"/>
        <w:rPr>
          <w:rFonts w:eastAsia="Times New Roman" w:cs="Arial"/>
          <w:b/>
          <w:sz w:val="24"/>
          <w:szCs w:val="24"/>
          <w:lang w:eastAsia="en-GB"/>
        </w:rPr>
      </w:pPr>
    </w:p>
    <w:p w14:paraId="24C71FED" w14:textId="77777777" w:rsidR="00E73695" w:rsidRDefault="00E73695" w:rsidP="00E73695">
      <w:pPr>
        <w:spacing w:after="0" w:line="240" w:lineRule="auto"/>
        <w:jc w:val="right"/>
        <w:rPr>
          <w:rFonts w:eastAsia="Times New Roman" w:cs="Arial"/>
          <w:b/>
          <w:sz w:val="24"/>
          <w:szCs w:val="24"/>
          <w:lang w:eastAsia="en-GB"/>
        </w:rPr>
      </w:pPr>
    </w:p>
    <w:p w14:paraId="06207EFF" w14:textId="77777777" w:rsidR="00E73695" w:rsidRDefault="00E73695" w:rsidP="00E73695">
      <w:pPr>
        <w:spacing w:after="0" w:line="240" w:lineRule="auto"/>
        <w:jc w:val="right"/>
        <w:rPr>
          <w:rFonts w:eastAsia="Times New Roman" w:cs="Arial"/>
          <w:b/>
          <w:sz w:val="24"/>
          <w:szCs w:val="24"/>
          <w:lang w:eastAsia="en-GB"/>
        </w:rPr>
      </w:pPr>
    </w:p>
    <w:p w14:paraId="27B4C372" w14:textId="77777777" w:rsidR="00E73695" w:rsidRDefault="00E73695" w:rsidP="00E73695">
      <w:pPr>
        <w:spacing w:after="0" w:line="240" w:lineRule="auto"/>
        <w:jc w:val="right"/>
        <w:rPr>
          <w:rFonts w:eastAsia="Times New Roman" w:cs="Arial"/>
          <w:b/>
          <w:sz w:val="24"/>
          <w:szCs w:val="24"/>
          <w:lang w:eastAsia="en-GB"/>
        </w:rPr>
      </w:pPr>
    </w:p>
    <w:p w14:paraId="5CBAB8D7" w14:textId="77777777" w:rsidR="00E73695" w:rsidRDefault="00E73695" w:rsidP="00E73695">
      <w:pPr>
        <w:spacing w:after="0" w:line="240" w:lineRule="auto"/>
        <w:jc w:val="right"/>
        <w:rPr>
          <w:rFonts w:eastAsia="Times New Roman" w:cs="Arial"/>
          <w:b/>
          <w:sz w:val="24"/>
          <w:szCs w:val="24"/>
          <w:lang w:eastAsia="en-GB"/>
        </w:rPr>
      </w:pPr>
    </w:p>
    <w:p w14:paraId="0251F470" w14:textId="77777777" w:rsidR="00E73695" w:rsidRDefault="00E73695" w:rsidP="00E73695">
      <w:pPr>
        <w:spacing w:after="0" w:line="240" w:lineRule="auto"/>
        <w:jc w:val="right"/>
        <w:rPr>
          <w:rFonts w:eastAsia="Times New Roman" w:cs="Arial"/>
          <w:b/>
          <w:sz w:val="24"/>
          <w:szCs w:val="24"/>
          <w:lang w:eastAsia="en-GB"/>
        </w:rPr>
      </w:pPr>
    </w:p>
    <w:p w14:paraId="1D1B287C" w14:textId="77777777" w:rsidR="00E73695" w:rsidRDefault="00E73695" w:rsidP="00E73695">
      <w:pPr>
        <w:spacing w:after="0" w:line="240" w:lineRule="auto"/>
        <w:jc w:val="right"/>
        <w:rPr>
          <w:rFonts w:eastAsia="Times New Roman" w:cs="Arial"/>
          <w:b/>
          <w:sz w:val="24"/>
          <w:szCs w:val="24"/>
          <w:lang w:eastAsia="en-GB"/>
        </w:rPr>
      </w:pPr>
    </w:p>
    <w:p w14:paraId="35ECCE94" w14:textId="77777777" w:rsidR="00E73695" w:rsidRDefault="00E73695" w:rsidP="00E73695">
      <w:pPr>
        <w:spacing w:after="0" w:line="240" w:lineRule="auto"/>
        <w:jc w:val="right"/>
        <w:rPr>
          <w:rFonts w:eastAsia="Times New Roman" w:cs="Arial"/>
          <w:b/>
          <w:sz w:val="24"/>
          <w:szCs w:val="24"/>
          <w:lang w:eastAsia="en-GB"/>
        </w:rPr>
      </w:pPr>
    </w:p>
    <w:p w14:paraId="58BDD0B7" w14:textId="77777777" w:rsidR="00E73695" w:rsidRDefault="00E73695" w:rsidP="00E73695">
      <w:pPr>
        <w:spacing w:after="0" w:line="240" w:lineRule="auto"/>
        <w:jc w:val="right"/>
        <w:rPr>
          <w:rFonts w:eastAsia="Times New Roman" w:cs="Arial"/>
          <w:b/>
          <w:sz w:val="24"/>
          <w:szCs w:val="24"/>
          <w:lang w:eastAsia="en-GB"/>
        </w:rPr>
      </w:pPr>
    </w:p>
    <w:p w14:paraId="04FCEB3A" w14:textId="77777777" w:rsidR="00E73695" w:rsidRDefault="00E73695" w:rsidP="00E73695">
      <w:pPr>
        <w:spacing w:after="0" w:line="240" w:lineRule="auto"/>
        <w:jc w:val="right"/>
        <w:rPr>
          <w:rFonts w:eastAsia="Times New Roman" w:cs="Arial"/>
          <w:b/>
          <w:sz w:val="24"/>
          <w:szCs w:val="24"/>
          <w:lang w:eastAsia="en-GB"/>
        </w:rPr>
      </w:pPr>
    </w:p>
    <w:p w14:paraId="75D8D560" w14:textId="77777777" w:rsidR="00E73695" w:rsidRDefault="00E73695" w:rsidP="00E73695">
      <w:pPr>
        <w:spacing w:after="0" w:line="240" w:lineRule="auto"/>
        <w:jc w:val="right"/>
        <w:rPr>
          <w:rFonts w:eastAsia="Times New Roman" w:cs="Arial"/>
          <w:b/>
          <w:sz w:val="24"/>
          <w:szCs w:val="24"/>
          <w:lang w:eastAsia="en-GB"/>
        </w:rPr>
      </w:pPr>
    </w:p>
    <w:p w14:paraId="1A7EC4C1" w14:textId="77777777" w:rsidR="00E73695" w:rsidRDefault="00E73695" w:rsidP="00E73695">
      <w:pPr>
        <w:spacing w:after="0" w:line="240" w:lineRule="auto"/>
        <w:jc w:val="right"/>
        <w:rPr>
          <w:rFonts w:eastAsia="Times New Roman" w:cs="Arial"/>
          <w:b/>
          <w:sz w:val="24"/>
          <w:szCs w:val="24"/>
          <w:lang w:eastAsia="en-GB"/>
        </w:rPr>
      </w:pPr>
    </w:p>
    <w:p w14:paraId="0C4EE3C7" w14:textId="77777777" w:rsidR="00E73695" w:rsidRDefault="00E73695" w:rsidP="00E73695">
      <w:pPr>
        <w:spacing w:after="0" w:line="240" w:lineRule="auto"/>
        <w:jc w:val="right"/>
        <w:rPr>
          <w:rFonts w:eastAsia="Times New Roman" w:cs="Arial"/>
          <w:b/>
          <w:sz w:val="24"/>
          <w:szCs w:val="24"/>
          <w:lang w:eastAsia="en-GB"/>
        </w:rPr>
      </w:pPr>
    </w:p>
    <w:p w14:paraId="4984FD98" w14:textId="77777777" w:rsidR="00E73695" w:rsidRDefault="00E73695" w:rsidP="00E73695">
      <w:pPr>
        <w:spacing w:after="0" w:line="240" w:lineRule="auto"/>
        <w:jc w:val="right"/>
        <w:rPr>
          <w:rFonts w:eastAsia="Times New Roman" w:cs="Arial"/>
          <w:b/>
          <w:sz w:val="24"/>
          <w:szCs w:val="24"/>
          <w:lang w:eastAsia="en-GB"/>
        </w:rPr>
      </w:pPr>
    </w:p>
    <w:p w14:paraId="0E0181D2" w14:textId="77777777" w:rsidR="00E73695" w:rsidRDefault="00E73695" w:rsidP="00E73695">
      <w:pPr>
        <w:spacing w:after="0" w:line="240" w:lineRule="auto"/>
        <w:jc w:val="right"/>
        <w:rPr>
          <w:rFonts w:eastAsia="Times New Roman" w:cs="Arial"/>
          <w:b/>
          <w:sz w:val="24"/>
          <w:szCs w:val="24"/>
          <w:lang w:eastAsia="en-GB"/>
        </w:rPr>
      </w:pPr>
    </w:p>
    <w:p w14:paraId="6ADE0158" w14:textId="77777777" w:rsidR="00E73695" w:rsidRDefault="00E73695" w:rsidP="00E73695">
      <w:pPr>
        <w:spacing w:after="0" w:line="240" w:lineRule="auto"/>
        <w:jc w:val="right"/>
        <w:rPr>
          <w:rFonts w:eastAsia="Times New Roman" w:cs="Arial"/>
          <w:b/>
          <w:sz w:val="24"/>
          <w:szCs w:val="24"/>
          <w:lang w:eastAsia="en-GB"/>
        </w:rPr>
      </w:pPr>
    </w:p>
    <w:p w14:paraId="46039A3D" w14:textId="0B68983E" w:rsidR="00E73695" w:rsidRDefault="00A22FBC" w:rsidP="00A22FBC">
      <w:pPr>
        <w:tabs>
          <w:tab w:val="left" w:pos="1896"/>
        </w:tabs>
        <w:spacing w:after="0" w:line="240" w:lineRule="auto"/>
        <w:rPr>
          <w:rFonts w:ascii="Arial" w:eastAsia="Times New Roman" w:hAnsi="Arial" w:cs="Arial"/>
          <w:b/>
          <w:sz w:val="24"/>
          <w:szCs w:val="24"/>
          <w:lang w:eastAsia="en-GB"/>
        </w:rPr>
      </w:pPr>
      <w:r>
        <w:rPr>
          <w:rFonts w:eastAsia="Times New Roman" w:cs="Arial"/>
          <w:b/>
          <w:sz w:val="24"/>
          <w:szCs w:val="24"/>
          <w:lang w:eastAsia="en-GB"/>
        </w:rPr>
        <w:tab/>
      </w:r>
      <w:r w:rsidR="00E73695">
        <w:rPr>
          <w:rFonts w:ascii="Arial" w:eastAsia="Times New Roman" w:hAnsi="Arial" w:cs="Arial"/>
          <w:b/>
          <w:sz w:val="24"/>
          <w:szCs w:val="24"/>
          <w:lang w:eastAsia="en-GB"/>
        </w:rPr>
        <w:t>Appendix B</w:t>
      </w:r>
    </w:p>
    <w:tbl>
      <w:tblPr>
        <w:tblW w:w="9180" w:type="dxa"/>
        <w:tblBorders>
          <w:bottom w:val="single" w:sz="18" w:space="0" w:color="C40012"/>
        </w:tblBorders>
        <w:tblLayout w:type="fixed"/>
        <w:tblCellMar>
          <w:left w:w="0" w:type="dxa"/>
        </w:tblCellMar>
        <w:tblLook w:val="00A0" w:firstRow="1" w:lastRow="0" w:firstColumn="1" w:lastColumn="0" w:noHBand="0" w:noVBand="0"/>
      </w:tblPr>
      <w:tblGrid>
        <w:gridCol w:w="141"/>
        <w:gridCol w:w="9039"/>
      </w:tblGrid>
      <w:tr w:rsidR="00E73695" w14:paraId="28A43276" w14:textId="77777777" w:rsidTr="00E73695">
        <w:trPr>
          <w:trHeight w:val="801"/>
        </w:trPr>
        <w:tc>
          <w:tcPr>
            <w:tcW w:w="77" w:type="pct"/>
            <w:tcBorders>
              <w:top w:val="nil"/>
              <w:left w:val="nil"/>
              <w:bottom w:val="single" w:sz="18" w:space="0" w:color="C40012"/>
              <w:right w:val="nil"/>
            </w:tcBorders>
            <w:vAlign w:val="bottom"/>
          </w:tcPr>
          <w:p w14:paraId="1340DE78" w14:textId="77777777" w:rsidR="00E73695" w:rsidRDefault="00E73695">
            <w:pPr>
              <w:snapToGrid w:val="0"/>
              <w:spacing w:after="0" w:line="240" w:lineRule="auto"/>
              <w:rPr>
                <w:rFonts w:ascii="Arial" w:eastAsia="Times New Roman" w:hAnsi="Arial" w:cs="Arial"/>
                <w:color w:val="F3D0CC"/>
                <w:position w:val="-24"/>
                <w:sz w:val="60"/>
                <w:szCs w:val="60"/>
                <w:lang w:eastAsia="en-GB"/>
              </w:rPr>
            </w:pPr>
          </w:p>
        </w:tc>
        <w:tc>
          <w:tcPr>
            <w:tcW w:w="4923" w:type="pct"/>
            <w:tcBorders>
              <w:top w:val="nil"/>
              <w:left w:val="nil"/>
              <w:bottom w:val="single" w:sz="18" w:space="0" w:color="C40012"/>
              <w:right w:val="nil"/>
            </w:tcBorders>
            <w:tcMar>
              <w:top w:w="0" w:type="dxa"/>
              <w:left w:w="0" w:type="dxa"/>
              <w:bottom w:w="57" w:type="dxa"/>
              <w:right w:w="108" w:type="dxa"/>
            </w:tcMar>
            <w:vAlign w:val="bottom"/>
            <w:hideMark/>
          </w:tcPr>
          <w:p w14:paraId="3AA35FEF" w14:textId="77777777" w:rsidR="00E73695" w:rsidRDefault="00E73695">
            <w:pPr>
              <w:spacing w:after="0" w:line="240" w:lineRule="auto"/>
              <w:rPr>
                <w:rFonts w:ascii="Arial" w:eastAsia="Times New Roman" w:hAnsi="Arial" w:cs="Arial"/>
                <w:b/>
                <w:color w:val="C40012"/>
                <w:spacing w:val="20"/>
                <w:sz w:val="60"/>
                <w:szCs w:val="24"/>
                <w:lang w:eastAsia="en-GB"/>
              </w:rPr>
            </w:pPr>
            <w:r>
              <w:rPr>
                <w:rFonts w:ascii="Arial" w:eastAsia="Times New Roman" w:hAnsi="Arial" w:cs="Arial"/>
                <w:b/>
                <w:spacing w:val="20"/>
                <w:sz w:val="60"/>
                <w:szCs w:val="24"/>
                <w:lang w:eastAsia="en-GB"/>
              </w:rPr>
              <w:t>Detailed Assessment</w:t>
            </w:r>
          </w:p>
        </w:tc>
      </w:tr>
    </w:tbl>
    <w:p w14:paraId="3E309C27" w14:textId="77777777" w:rsidR="00E73695" w:rsidRDefault="00E73695" w:rsidP="00E73695">
      <w:pPr>
        <w:tabs>
          <w:tab w:val="left" w:pos="720"/>
        </w:tabs>
        <w:spacing w:after="0" w:line="240" w:lineRule="auto"/>
        <w:rPr>
          <w:rFonts w:ascii="Arial" w:eastAsia="Times New Roman" w:hAnsi="Arial" w:cs="Arial"/>
          <w:szCs w:val="24"/>
          <w:lang w:eastAsia="en-GB"/>
        </w:rPr>
      </w:pPr>
    </w:p>
    <w:tbl>
      <w:tblPr>
        <w:tblW w:w="9015"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818"/>
        <w:gridCol w:w="2411"/>
        <w:gridCol w:w="681"/>
        <w:gridCol w:w="709"/>
        <w:gridCol w:w="709"/>
        <w:gridCol w:w="3687"/>
      </w:tblGrid>
      <w:tr w:rsidR="00E73695" w14:paraId="16C1A530" w14:textId="77777777" w:rsidTr="001D2859">
        <w:trPr>
          <w:cantSplit/>
          <w:trHeight w:val="1014"/>
        </w:trPr>
        <w:tc>
          <w:tcPr>
            <w:tcW w:w="818" w:type="dxa"/>
            <w:tcBorders>
              <w:top w:val="single" w:sz="8" w:space="0" w:color="C0504D"/>
              <w:left w:val="single" w:sz="8" w:space="0" w:color="C0504D"/>
              <w:bottom w:val="single" w:sz="8" w:space="0" w:color="C0504D"/>
              <w:right w:val="single" w:sz="12" w:space="0" w:color="C00000"/>
            </w:tcBorders>
            <w:shd w:val="clear" w:color="auto" w:fill="C41200"/>
          </w:tcPr>
          <w:p w14:paraId="69E3625A" w14:textId="77777777" w:rsidR="00E73695" w:rsidRDefault="00E73695">
            <w:pPr>
              <w:spacing w:before="60" w:after="60" w:line="240" w:lineRule="auto"/>
              <w:rPr>
                <w:rFonts w:ascii="Arial" w:eastAsia="Times New Roman" w:hAnsi="Arial" w:cs="Arial"/>
                <w:color w:val="FFFFFF"/>
                <w:sz w:val="16"/>
                <w:szCs w:val="16"/>
                <w:lang w:eastAsia="en-GB"/>
              </w:rPr>
            </w:pPr>
          </w:p>
          <w:p w14:paraId="5340FCE6" w14:textId="77777777" w:rsidR="00E73695" w:rsidRDefault="00E73695">
            <w:pPr>
              <w:spacing w:before="60" w:after="60" w:line="240" w:lineRule="auto"/>
              <w:rPr>
                <w:rFonts w:ascii="Arial" w:eastAsia="Times New Roman" w:hAnsi="Arial" w:cs="Arial"/>
                <w:color w:val="FFFFFF"/>
                <w:sz w:val="16"/>
                <w:szCs w:val="16"/>
                <w:lang w:eastAsia="en-GB"/>
              </w:rPr>
            </w:pPr>
          </w:p>
          <w:p w14:paraId="7F32D419" w14:textId="77777777" w:rsidR="00E73695" w:rsidRDefault="00E73695">
            <w:pPr>
              <w:spacing w:before="60" w:after="60" w:line="240" w:lineRule="auto"/>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PSIAS</w:t>
            </w:r>
          </w:p>
          <w:p w14:paraId="5BFFCD66" w14:textId="77777777" w:rsidR="00E73695" w:rsidRDefault="00E73695">
            <w:pPr>
              <w:spacing w:before="60" w:after="60" w:line="240" w:lineRule="auto"/>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Ref</w:t>
            </w:r>
          </w:p>
        </w:tc>
        <w:tc>
          <w:tcPr>
            <w:tcW w:w="2411" w:type="dxa"/>
            <w:tcBorders>
              <w:top w:val="single" w:sz="8" w:space="0" w:color="C0504D"/>
              <w:left w:val="nil"/>
              <w:bottom w:val="single" w:sz="8" w:space="0" w:color="C0504D"/>
              <w:right w:val="single" w:sz="12" w:space="0" w:color="C00000"/>
            </w:tcBorders>
            <w:shd w:val="clear" w:color="auto" w:fill="C41200"/>
          </w:tcPr>
          <w:p w14:paraId="7F77A7E1" w14:textId="77777777" w:rsidR="00E73695" w:rsidRDefault="00E73695">
            <w:pPr>
              <w:spacing w:before="60" w:after="60" w:line="240" w:lineRule="auto"/>
              <w:rPr>
                <w:rFonts w:ascii="Arial" w:eastAsia="Times New Roman" w:hAnsi="Arial" w:cs="Arial"/>
                <w:color w:val="FFFFFF"/>
                <w:sz w:val="16"/>
                <w:szCs w:val="16"/>
                <w:lang w:eastAsia="en-GB"/>
              </w:rPr>
            </w:pPr>
          </w:p>
        </w:tc>
        <w:tc>
          <w:tcPr>
            <w:tcW w:w="681" w:type="dxa"/>
            <w:tcBorders>
              <w:top w:val="single" w:sz="8" w:space="0" w:color="C0504D"/>
              <w:left w:val="single" w:sz="8" w:space="0" w:color="C0504D"/>
              <w:bottom w:val="single" w:sz="8" w:space="0" w:color="C0504D"/>
              <w:right w:val="single" w:sz="8" w:space="0" w:color="C0504D"/>
            </w:tcBorders>
            <w:shd w:val="clear" w:color="auto" w:fill="C41200"/>
            <w:textDirection w:val="btLr"/>
            <w:hideMark/>
          </w:tcPr>
          <w:p w14:paraId="2C705D2C" w14:textId="77777777" w:rsidR="00E73695" w:rsidRDefault="00E73695">
            <w:pPr>
              <w:spacing w:before="60" w:after="60" w:line="240" w:lineRule="auto"/>
              <w:ind w:left="113" w:right="113"/>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Conforms</w:t>
            </w:r>
          </w:p>
        </w:tc>
        <w:tc>
          <w:tcPr>
            <w:tcW w:w="709" w:type="dxa"/>
            <w:tcBorders>
              <w:top w:val="single" w:sz="8" w:space="0" w:color="C0504D"/>
              <w:left w:val="single" w:sz="8" w:space="0" w:color="C0504D"/>
              <w:bottom w:val="single" w:sz="8" w:space="0" w:color="C0504D"/>
              <w:right w:val="single" w:sz="8" w:space="0" w:color="C0504D"/>
            </w:tcBorders>
            <w:shd w:val="clear" w:color="auto" w:fill="C41200"/>
            <w:textDirection w:val="btLr"/>
            <w:hideMark/>
          </w:tcPr>
          <w:p w14:paraId="6DB33354" w14:textId="77777777" w:rsidR="00E73695" w:rsidRDefault="00E73695">
            <w:pPr>
              <w:spacing w:before="60" w:after="60" w:line="240" w:lineRule="auto"/>
              <w:ind w:left="113" w:right="113"/>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Partially conforms</w:t>
            </w:r>
          </w:p>
        </w:tc>
        <w:tc>
          <w:tcPr>
            <w:tcW w:w="709" w:type="dxa"/>
            <w:tcBorders>
              <w:top w:val="single" w:sz="8" w:space="0" w:color="C0504D"/>
              <w:left w:val="single" w:sz="8" w:space="0" w:color="C0504D"/>
              <w:bottom w:val="single" w:sz="8" w:space="0" w:color="C0504D"/>
              <w:right w:val="single" w:sz="8" w:space="0" w:color="C0504D"/>
            </w:tcBorders>
            <w:shd w:val="clear" w:color="auto" w:fill="C41200"/>
            <w:textDirection w:val="btLr"/>
            <w:hideMark/>
          </w:tcPr>
          <w:p w14:paraId="0EC50F43" w14:textId="77777777" w:rsidR="00E73695" w:rsidRDefault="00E73695">
            <w:pPr>
              <w:spacing w:before="60" w:after="60" w:line="240" w:lineRule="auto"/>
              <w:ind w:left="113" w:right="113"/>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Does not conform</w:t>
            </w:r>
          </w:p>
        </w:tc>
        <w:tc>
          <w:tcPr>
            <w:tcW w:w="3687" w:type="dxa"/>
            <w:tcBorders>
              <w:top w:val="single" w:sz="8" w:space="0" w:color="C0504D"/>
              <w:left w:val="single" w:sz="8" w:space="0" w:color="C0504D"/>
              <w:bottom w:val="single" w:sz="8" w:space="0" w:color="C0504D"/>
              <w:right w:val="single" w:sz="8" w:space="0" w:color="C0504D"/>
            </w:tcBorders>
            <w:shd w:val="clear" w:color="auto" w:fill="C41200"/>
            <w:vAlign w:val="bottom"/>
            <w:hideMark/>
          </w:tcPr>
          <w:p w14:paraId="38E726A0" w14:textId="77777777" w:rsidR="00E73695" w:rsidRDefault="00E73695">
            <w:pPr>
              <w:spacing w:before="60" w:after="60" w:line="240" w:lineRule="auto"/>
              <w:rPr>
                <w:rFonts w:ascii="Arial" w:eastAsia="Times New Roman" w:hAnsi="Arial" w:cs="Arial"/>
                <w:color w:val="FFFFFF"/>
                <w:sz w:val="16"/>
                <w:szCs w:val="16"/>
                <w:lang w:eastAsia="en-GB"/>
              </w:rPr>
            </w:pPr>
            <w:r>
              <w:rPr>
                <w:rFonts w:ascii="Arial" w:eastAsia="Times New Roman" w:hAnsi="Arial" w:cs="Arial"/>
                <w:color w:val="FFFFFF"/>
                <w:sz w:val="16"/>
                <w:szCs w:val="16"/>
                <w:lang w:eastAsia="en-GB"/>
              </w:rPr>
              <w:t>Comments</w:t>
            </w:r>
          </w:p>
        </w:tc>
      </w:tr>
      <w:tr w:rsidR="00E73695" w14:paraId="1EEFBB5D" w14:textId="77777777" w:rsidTr="001D2859">
        <w:tc>
          <w:tcPr>
            <w:tcW w:w="818" w:type="dxa"/>
            <w:tcBorders>
              <w:top w:val="single" w:sz="8" w:space="0" w:color="C0504D"/>
              <w:left w:val="single" w:sz="8" w:space="0" w:color="C0504D"/>
              <w:bottom w:val="single" w:sz="8" w:space="0" w:color="C0504D"/>
              <w:right w:val="single" w:sz="12" w:space="0" w:color="C00000"/>
            </w:tcBorders>
            <w:shd w:val="clear" w:color="auto" w:fill="C41200"/>
          </w:tcPr>
          <w:p w14:paraId="1DEAECD8" w14:textId="77777777" w:rsidR="00E73695" w:rsidRDefault="00E73695">
            <w:pPr>
              <w:spacing w:before="60" w:after="60" w:line="240" w:lineRule="auto"/>
              <w:rPr>
                <w:rFonts w:ascii="Arial" w:eastAsia="Times New Roman" w:hAnsi="Arial" w:cs="Arial"/>
                <w:color w:val="FFFFFF"/>
                <w:sz w:val="16"/>
                <w:szCs w:val="16"/>
                <w:lang w:eastAsia="en-GB"/>
              </w:rPr>
            </w:pPr>
          </w:p>
        </w:tc>
        <w:tc>
          <w:tcPr>
            <w:tcW w:w="2411" w:type="dxa"/>
            <w:tcBorders>
              <w:top w:val="single" w:sz="8" w:space="0" w:color="C0504D"/>
              <w:left w:val="nil"/>
              <w:bottom w:val="single" w:sz="8" w:space="0" w:color="C0504D"/>
              <w:right w:val="single" w:sz="12" w:space="0" w:color="C00000"/>
            </w:tcBorders>
            <w:shd w:val="clear" w:color="auto" w:fill="C41200"/>
            <w:hideMark/>
          </w:tcPr>
          <w:p w14:paraId="588CDC1B" w14:textId="77777777" w:rsidR="00E73695" w:rsidRDefault="00E73695">
            <w:pPr>
              <w:spacing w:before="60" w:after="60" w:line="240" w:lineRule="auto"/>
              <w:rPr>
                <w:rFonts w:ascii="Arial" w:eastAsia="Times New Roman" w:hAnsi="Arial" w:cs="Arial"/>
                <w:sz w:val="20"/>
                <w:szCs w:val="20"/>
                <w:lang w:eastAsia="en-GB"/>
              </w:rPr>
            </w:pPr>
            <w:r>
              <w:rPr>
                <w:rFonts w:ascii="Arial" w:eastAsia="Times New Roman" w:hAnsi="Arial" w:cs="Arial"/>
                <w:color w:val="FFFFFF"/>
                <w:sz w:val="20"/>
                <w:szCs w:val="20"/>
                <w:lang w:eastAsia="en-GB"/>
              </w:rPr>
              <w:t>Purpose &amp; positioning</w:t>
            </w:r>
          </w:p>
        </w:tc>
        <w:tc>
          <w:tcPr>
            <w:tcW w:w="681" w:type="dxa"/>
            <w:tcBorders>
              <w:top w:val="single" w:sz="8" w:space="0" w:color="C0504D"/>
              <w:left w:val="single" w:sz="8" w:space="0" w:color="C0504D"/>
              <w:bottom w:val="single" w:sz="8" w:space="0" w:color="C0504D"/>
              <w:right w:val="nil"/>
            </w:tcBorders>
            <w:shd w:val="clear" w:color="auto" w:fill="C41200"/>
          </w:tcPr>
          <w:p w14:paraId="2EE4D625" w14:textId="77777777" w:rsidR="00E73695" w:rsidRDefault="00E73695">
            <w:pPr>
              <w:spacing w:before="60" w:after="60" w:line="240" w:lineRule="auto"/>
              <w:rPr>
                <w:rFonts w:ascii="Arial" w:eastAsia="Times New Roman" w:hAnsi="Arial" w:cs="Arial"/>
                <w:color w:val="FFFFFF"/>
                <w:sz w:val="16"/>
                <w:szCs w:val="16"/>
                <w:lang w:eastAsia="en-GB"/>
              </w:rPr>
            </w:pPr>
          </w:p>
        </w:tc>
        <w:tc>
          <w:tcPr>
            <w:tcW w:w="709" w:type="dxa"/>
            <w:tcBorders>
              <w:top w:val="single" w:sz="8" w:space="0" w:color="C0504D"/>
              <w:left w:val="nil"/>
              <w:bottom w:val="single" w:sz="8" w:space="0" w:color="C0504D"/>
              <w:right w:val="nil"/>
            </w:tcBorders>
            <w:shd w:val="clear" w:color="auto" w:fill="C41200"/>
          </w:tcPr>
          <w:p w14:paraId="1BF81738" w14:textId="77777777" w:rsidR="00E73695" w:rsidRDefault="00E73695">
            <w:pPr>
              <w:spacing w:before="60" w:after="60" w:line="240" w:lineRule="auto"/>
              <w:rPr>
                <w:rFonts w:ascii="Arial" w:eastAsia="Times New Roman" w:hAnsi="Arial" w:cs="Arial"/>
                <w:color w:val="FFFFFF"/>
                <w:sz w:val="16"/>
                <w:szCs w:val="16"/>
                <w:lang w:eastAsia="en-GB"/>
              </w:rPr>
            </w:pPr>
          </w:p>
        </w:tc>
        <w:tc>
          <w:tcPr>
            <w:tcW w:w="709" w:type="dxa"/>
            <w:tcBorders>
              <w:top w:val="single" w:sz="8" w:space="0" w:color="C0504D"/>
              <w:left w:val="nil"/>
              <w:bottom w:val="single" w:sz="8" w:space="0" w:color="C0504D"/>
              <w:right w:val="nil"/>
            </w:tcBorders>
            <w:shd w:val="clear" w:color="auto" w:fill="C41200"/>
          </w:tcPr>
          <w:p w14:paraId="179F87A7" w14:textId="77777777" w:rsidR="00E73695" w:rsidRDefault="00E73695">
            <w:pPr>
              <w:spacing w:before="60" w:after="60" w:line="240" w:lineRule="auto"/>
              <w:rPr>
                <w:rFonts w:ascii="Arial" w:eastAsia="Times New Roman" w:hAnsi="Arial" w:cs="Arial"/>
                <w:color w:val="FFFFFF"/>
                <w:sz w:val="16"/>
                <w:szCs w:val="16"/>
                <w:lang w:eastAsia="en-GB"/>
              </w:rPr>
            </w:pPr>
          </w:p>
        </w:tc>
        <w:tc>
          <w:tcPr>
            <w:tcW w:w="3687" w:type="dxa"/>
            <w:tcBorders>
              <w:top w:val="single" w:sz="8" w:space="0" w:color="C0504D"/>
              <w:left w:val="nil"/>
              <w:bottom w:val="single" w:sz="8" w:space="0" w:color="C0504D"/>
              <w:right w:val="single" w:sz="8" w:space="0" w:color="C0504D"/>
            </w:tcBorders>
            <w:shd w:val="clear" w:color="auto" w:fill="C41200"/>
          </w:tcPr>
          <w:p w14:paraId="5E23D002" w14:textId="77777777" w:rsidR="00E73695" w:rsidRDefault="00E73695">
            <w:pPr>
              <w:spacing w:before="60" w:after="60" w:line="240" w:lineRule="auto"/>
              <w:rPr>
                <w:rFonts w:ascii="Arial" w:eastAsia="Times New Roman" w:hAnsi="Arial" w:cs="Arial"/>
                <w:color w:val="FFFFFF"/>
                <w:sz w:val="16"/>
                <w:szCs w:val="16"/>
                <w:lang w:eastAsia="en-GB"/>
              </w:rPr>
            </w:pPr>
          </w:p>
        </w:tc>
      </w:tr>
      <w:tr w:rsidR="001D2859" w14:paraId="28FCF8E6" w14:textId="77777777" w:rsidTr="001D2859">
        <w:trPr>
          <w:trHeight w:val="293"/>
        </w:trPr>
        <w:tc>
          <w:tcPr>
            <w:tcW w:w="818" w:type="dxa"/>
            <w:tcBorders>
              <w:top w:val="single" w:sz="8" w:space="0" w:color="C0504D"/>
              <w:left w:val="single" w:sz="8" w:space="0" w:color="C0504D"/>
              <w:bottom w:val="single" w:sz="8" w:space="0" w:color="C0504D"/>
              <w:right w:val="single" w:sz="12" w:space="0" w:color="C00000"/>
            </w:tcBorders>
            <w:hideMark/>
          </w:tcPr>
          <w:p w14:paraId="6DF3A211" w14:textId="77777777" w:rsidR="001D2859" w:rsidRDefault="001D2859" w:rsidP="001D285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1000</w:t>
            </w:r>
          </w:p>
        </w:tc>
        <w:tc>
          <w:tcPr>
            <w:tcW w:w="2411" w:type="dxa"/>
            <w:tcBorders>
              <w:top w:val="single" w:sz="8" w:space="0" w:color="C0504D"/>
              <w:left w:val="nil"/>
              <w:bottom w:val="single" w:sz="8" w:space="0" w:color="C0504D"/>
              <w:right w:val="single" w:sz="12" w:space="0" w:color="C00000"/>
            </w:tcBorders>
            <w:hideMark/>
          </w:tcPr>
          <w:p w14:paraId="369D6ABA" w14:textId="77777777" w:rsidR="001D2859" w:rsidRDefault="001D2859" w:rsidP="001D2859">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Remit</w:t>
            </w:r>
          </w:p>
        </w:tc>
        <w:tc>
          <w:tcPr>
            <w:tcW w:w="681" w:type="dxa"/>
            <w:tcBorders>
              <w:top w:val="single" w:sz="8" w:space="0" w:color="C0504D"/>
              <w:left w:val="single" w:sz="12" w:space="0" w:color="C00000"/>
              <w:bottom w:val="single" w:sz="8" w:space="0" w:color="C0504D"/>
              <w:right w:val="single" w:sz="8" w:space="0" w:color="C0504D"/>
            </w:tcBorders>
          </w:tcPr>
          <w:p w14:paraId="5014217C" w14:textId="436187C1" w:rsidR="001D2859" w:rsidRDefault="001D2859" w:rsidP="001D2859">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hideMark/>
          </w:tcPr>
          <w:p w14:paraId="2F556991" w14:textId="0FA1D4A1" w:rsidR="001D2859" w:rsidRDefault="001D2859" w:rsidP="001D2859">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7ABF9924" w14:textId="77777777" w:rsidR="001D2859" w:rsidRDefault="001D2859" w:rsidP="001D2859">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hideMark/>
          </w:tcPr>
          <w:p w14:paraId="2363067F" w14:textId="61039C80" w:rsidR="001D2859" w:rsidRDefault="00D103E9" w:rsidP="00107BC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See 3.4.</w:t>
            </w:r>
            <w:r w:rsidR="0090498F">
              <w:rPr>
                <w:rFonts w:ascii="Arial" w:eastAsia="Times New Roman" w:hAnsi="Arial" w:cs="Arial"/>
                <w:sz w:val="20"/>
                <w:szCs w:val="20"/>
                <w:lang w:eastAsia="en-GB"/>
              </w:rPr>
              <w:t>3</w:t>
            </w:r>
          </w:p>
        </w:tc>
      </w:tr>
      <w:tr w:rsidR="001D2859" w14:paraId="06C4969A" w14:textId="77777777" w:rsidTr="001D2859">
        <w:trPr>
          <w:trHeight w:val="275"/>
        </w:trPr>
        <w:tc>
          <w:tcPr>
            <w:tcW w:w="818" w:type="dxa"/>
            <w:tcBorders>
              <w:top w:val="single" w:sz="8" w:space="0" w:color="C0504D"/>
              <w:left w:val="single" w:sz="8" w:space="0" w:color="C0504D"/>
              <w:bottom w:val="single" w:sz="8" w:space="0" w:color="C0504D"/>
              <w:right w:val="single" w:sz="12" w:space="0" w:color="C00000"/>
            </w:tcBorders>
            <w:hideMark/>
          </w:tcPr>
          <w:p w14:paraId="0BE56354" w14:textId="77777777" w:rsidR="001D2859" w:rsidRDefault="001D2859" w:rsidP="001D285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1000</w:t>
            </w:r>
          </w:p>
        </w:tc>
        <w:tc>
          <w:tcPr>
            <w:tcW w:w="2411" w:type="dxa"/>
            <w:tcBorders>
              <w:top w:val="single" w:sz="8" w:space="0" w:color="C0504D"/>
              <w:left w:val="nil"/>
              <w:bottom w:val="single" w:sz="8" w:space="0" w:color="C0504D"/>
              <w:right w:val="single" w:sz="12" w:space="0" w:color="C00000"/>
            </w:tcBorders>
            <w:hideMark/>
          </w:tcPr>
          <w:p w14:paraId="7A2043D6" w14:textId="77777777" w:rsidR="001D2859" w:rsidRDefault="001D2859" w:rsidP="001D2859">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Reporting lines</w:t>
            </w:r>
          </w:p>
        </w:tc>
        <w:tc>
          <w:tcPr>
            <w:tcW w:w="681" w:type="dxa"/>
            <w:tcBorders>
              <w:top w:val="single" w:sz="8" w:space="0" w:color="C0504D"/>
              <w:left w:val="single" w:sz="12" w:space="0" w:color="C00000"/>
              <w:bottom w:val="single" w:sz="8" w:space="0" w:color="C0504D"/>
              <w:right w:val="single" w:sz="8" w:space="0" w:color="C0504D"/>
            </w:tcBorders>
            <w:hideMark/>
          </w:tcPr>
          <w:p w14:paraId="42D75D08" w14:textId="77777777" w:rsidR="001D2859" w:rsidRDefault="001D2859" w:rsidP="001D2859">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5B18D226" w14:textId="77777777" w:rsidR="001D2859" w:rsidRDefault="001D2859" w:rsidP="001D2859">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6242D844" w14:textId="77777777" w:rsidR="001D2859" w:rsidRDefault="001D2859" w:rsidP="001D2859">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396F8816" w14:textId="6C3AC5E7" w:rsidR="001D2859" w:rsidRDefault="001D2859" w:rsidP="00637A4A">
            <w:pPr>
              <w:spacing w:after="0" w:line="240" w:lineRule="auto"/>
              <w:rPr>
                <w:rFonts w:ascii="Arial" w:eastAsia="Times New Roman" w:hAnsi="Arial" w:cs="Arial"/>
                <w:sz w:val="20"/>
                <w:szCs w:val="20"/>
                <w:lang w:eastAsia="en-GB"/>
              </w:rPr>
            </w:pPr>
          </w:p>
        </w:tc>
      </w:tr>
      <w:tr w:rsidR="001D2859" w14:paraId="657E92E1" w14:textId="77777777" w:rsidTr="001D2859">
        <w:trPr>
          <w:trHeight w:val="229"/>
        </w:trPr>
        <w:tc>
          <w:tcPr>
            <w:tcW w:w="818" w:type="dxa"/>
            <w:tcBorders>
              <w:top w:val="single" w:sz="8" w:space="0" w:color="C0504D"/>
              <w:left w:val="single" w:sz="8" w:space="0" w:color="C0504D"/>
              <w:bottom w:val="single" w:sz="8" w:space="0" w:color="C0504D"/>
              <w:right w:val="single" w:sz="12" w:space="0" w:color="C00000"/>
            </w:tcBorders>
            <w:hideMark/>
          </w:tcPr>
          <w:p w14:paraId="3ED246EC" w14:textId="77777777" w:rsidR="001D2859" w:rsidRDefault="001D2859" w:rsidP="001D285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1110</w:t>
            </w:r>
          </w:p>
        </w:tc>
        <w:tc>
          <w:tcPr>
            <w:tcW w:w="2411" w:type="dxa"/>
            <w:tcBorders>
              <w:top w:val="single" w:sz="8" w:space="0" w:color="C0504D"/>
              <w:left w:val="nil"/>
              <w:bottom w:val="single" w:sz="8" w:space="0" w:color="C0504D"/>
              <w:right w:val="single" w:sz="12" w:space="0" w:color="C00000"/>
            </w:tcBorders>
            <w:hideMark/>
          </w:tcPr>
          <w:p w14:paraId="23F78F52" w14:textId="77777777" w:rsidR="001D2859" w:rsidRDefault="001D2859" w:rsidP="001D2859">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Independence</w:t>
            </w:r>
          </w:p>
        </w:tc>
        <w:tc>
          <w:tcPr>
            <w:tcW w:w="681" w:type="dxa"/>
            <w:tcBorders>
              <w:top w:val="single" w:sz="8" w:space="0" w:color="C0504D"/>
              <w:left w:val="single" w:sz="12" w:space="0" w:color="C00000"/>
              <w:bottom w:val="single" w:sz="8" w:space="0" w:color="C0504D"/>
              <w:right w:val="single" w:sz="8" w:space="0" w:color="C0504D"/>
            </w:tcBorders>
            <w:hideMark/>
          </w:tcPr>
          <w:p w14:paraId="6B42107B" w14:textId="77777777" w:rsidR="001D2859" w:rsidRDefault="001D2859" w:rsidP="001D2859">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607F3AC3" w14:textId="77777777" w:rsidR="001D2859" w:rsidRDefault="001D2859" w:rsidP="001D2859">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0BFE4341" w14:textId="77777777" w:rsidR="001D2859" w:rsidRDefault="001D2859" w:rsidP="001D2859">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3466C41E" w14:textId="5AE4393D" w:rsidR="001D2859" w:rsidRDefault="00F41F99" w:rsidP="00842B8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See 3.</w:t>
            </w:r>
            <w:r w:rsidR="00686022">
              <w:rPr>
                <w:rFonts w:ascii="Arial" w:eastAsia="Times New Roman" w:hAnsi="Arial" w:cs="Arial"/>
                <w:sz w:val="20"/>
                <w:szCs w:val="20"/>
                <w:lang w:eastAsia="en-GB"/>
              </w:rPr>
              <w:t>4</w:t>
            </w:r>
            <w:r w:rsidR="00C42CCC">
              <w:rPr>
                <w:rFonts w:ascii="Arial" w:eastAsia="Times New Roman" w:hAnsi="Arial" w:cs="Arial"/>
                <w:sz w:val="20"/>
                <w:szCs w:val="20"/>
                <w:lang w:eastAsia="en-GB"/>
              </w:rPr>
              <w:t>.1</w:t>
            </w:r>
          </w:p>
        </w:tc>
      </w:tr>
      <w:tr w:rsidR="001D2859" w14:paraId="6FDE1002" w14:textId="77777777" w:rsidTr="001D2859">
        <w:trPr>
          <w:trHeight w:val="106"/>
        </w:trPr>
        <w:tc>
          <w:tcPr>
            <w:tcW w:w="818" w:type="dxa"/>
            <w:tcBorders>
              <w:top w:val="single" w:sz="8" w:space="0" w:color="C0504D"/>
              <w:left w:val="single" w:sz="8" w:space="0" w:color="C0504D"/>
              <w:bottom w:val="single" w:sz="8" w:space="0" w:color="C0504D"/>
              <w:right w:val="single" w:sz="12" w:space="0" w:color="C00000"/>
            </w:tcBorders>
            <w:hideMark/>
          </w:tcPr>
          <w:p w14:paraId="43D5B5BA" w14:textId="77777777" w:rsidR="001D2859" w:rsidRDefault="001D2859" w:rsidP="001D285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2010</w:t>
            </w:r>
          </w:p>
        </w:tc>
        <w:tc>
          <w:tcPr>
            <w:tcW w:w="2411" w:type="dxa"/>
            <w:tcBorders>
              <w:top w:val="single" w:sz="8" w:space="0" w:color="C0504D"/>
              <w:left w:val="nil"/>
              <w:bottom w:val="single" w:sz="8" w:space="0" w:color="C0504D"/>
              <w:right w:val="single" w:sz="12" w:space="0" w:color="C00000"/>
            </w:tcBorders>
            <w:hideMark/>
          </w:tcPr>
          <w:p w14:paraId="78A9814D" w14:textId="77777777" w:rsidR="001D2859" w:rsidRDefault="001D2859" w:rsidP="001D2859">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Risk based plan</w:t>
            </w:r>
          </w:p>
        </w:tc>
        <w:tc>
          <w:tcPr>
            <w:tcW w:w="681" w:type="dxa"/>
            <w:tcBorders>
              <w:top w:val="single" w:sz="8" w:space="0" w:color="C0504D"/>
              <w:left w:val="single" w:sz="12" w:space="0" w:color="C00000"/>
              <w:bottom w:val="single" w:sz="8" w:space="0" w:color="C0504D"/>
              <w:right w:val="single" w:sz="8" w:space="0" w:color="C0504D"/>
            </w:tcBorders>
            <w:hideMark/>
          </w:tcPr>
          <w:p w14:paraId="19D253EC" w14:textId="77777777" w:rsidR="001D2859" w:rsidRDefault="001D2859" w:rsidP="001D2859">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34EA3C68" w14:textId="77777777" w:rsidR="001D2859" w:rsidRDefault="001D2859" w:rsidP="001D2859">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191C3A0D" w14:textId="77777777" w:rsidR="001D2859" w:rsidRDefault="001D2859" w:rsidP="001D2859">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6AEBB726" w14:textId="7CDD0390" w:rsidR="001D2859" w:rsidRDefault="001D2859" w:rsidP="001D2859">
            <w:pPr>
              <w:spacing w:after="0" w:line="240" w:lineRule="auto"/>
              <w:rPr>
                <w:rFonts w:ascii="Arial" w:eastAsia="Times New Roman" w:hAnsi="Arial" w:cs="Arial"/>
                <w:sz w:val="20"/>
                <w:szCs w:val="20"/>
                <w:lang w:eastAsia="en-GB"/>
              </w:rPr>
            </w:pPr>
          </w:p>
        </w:tc>
      </w:tr>
      <w:tr w:rsidR="00FC4D54" w14:paraId="39C1563C" w14:textId="77777777" w:rsidTr="001D2859">
        <w:trPr>
          <w:trHeight w:val="265"/>
        </w:trPr>
        <w:tc>
          <w:tcPr>
            <w:tcW w:w="818" w:type="dxa"/>
            <w:tcBorders>
              <w:top w:val="single" w:sz="8" w:space="0" w:color="C0504D"/>
              <w:left w:val="single" w:sz="8" w:space="0" w:color="C0504D"/>
              <w:bottom w:val="single" w:sz="8" w:space="0" w:color="C0504D"/>
              <w:right w:val="single" w:sz="12" w:space="0" w:color="C00000"/>
            </w:tcBorders>
            <w:hideMark/>
          </w:tcPr>
          <w:p w14:paraId="35190973" w14:textId="77777777" w:rsidR="00FC4D54" w:rsidRDefault="00FC4D54" w:rsidP="00FC4D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2050</w:t>
            </w:r>
          </w:p>
        </w:tc>
        <w:tc>
          <w:tcPr>
            <w:tcW w:w="2411" w:type="dxa"/>
            <w:tcBorders>
              <w:top w:val="single" w:sz="8" w:space="0" w:color="C0504D"/>
              <w:left w:val="nil"/>
              <w:bottom w:val="single" w:sz="8" w:space="0" w:color="C0504D"/>
              <w:right w:val="single" w:sz="12" w:space="0" w:color="C00000"/>
            </w:tcBorders>
            <w:hideMark/>
          </w:tcPr>
          <w:p w14:paraId="1C8C49D6" w14:textId="77777777" w:rsidR="00FC4D54" w:rsidRDefault="00FC4D54" w:rsidP="00FC4D54">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Other assurance providers</w:t>
            </w:r>
          </w:p>
        </w:tc>
        <w:tc>
          <w:tcPr>
            <w:tcW w:w="681" w:type="dxa"/>
            <w:tcBorders>
              <w:top w:val="single" w:sz="8" w:space="0" w:color="C0504D"/>
              <w:left w:val="single" w:sz="12" w:space="0" w:color="C00000"/>
              <w:bottom w:val="single" w:sz="8" w:space="0" w:color="C0504D"/>
              <w:right w:val="single" w:sz="8" w:space="0" w:color="C0504D"/>
            </w:tcBorders>
          </w:tcPr>
          <w:p w14:paraId="4CF94E0A" w14:textId="6622F876" w:rsidR="00FC4D54" w:rsidRDefault="00FC4D54" w:rsidP="00FC4D54">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hideMark/>
          </w:tcPr>
          <w:p w14:paraId="1333B16C" w14:textId="66A2B9BB"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412A4344"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hideMark/>
          </w:tcPr>
          <w:p w14:paraId="0D63690A" w14:textId="61D49050" w:rsidR="00FC4D54" w:rsidRDefault="00FC4D54" w:rsidP="00A07A3C">
            <w:pPr>
              <w:spacing w:after="0" w:line="240" w:lineRule="auto"/>
              <w:rPr>
                <w:rFonts w:ascii="Arial" w:eastAsia="Times New Roman" w:hAnsi="Arial" w:cs="Arial"/>
                <w:sz w:val="20"/>
                <w:szCs w:val="20"/>
                <w:lang w:eastAsia="en-GB"/>
              </w:rPr>
            </w:pPr>
          </w:p>
        </w:tc>
      </w:tr>
      <w:tr w:rsidR="00FC4D54" w14:paraId="79C178D3" w14:textId="77777777" w:rsidTr="001D2859">
        <w:trPr>
          <w:trHeight w:val="393"/>
        </w:trPr>
        <w:tc>
          <w:tcPr>
            <w:tcW w:w="818" w:type="dxa"/>
            <w:tcBorders>
              <w:top w:val="single" w:sz="8" w:space="0" w:color="C0504D"/>
              <w:left w:val="single" w:sz="8" w:space="0" w:color="C0504D"/>
              <w:bottom w:val="single" w:sz="8" w:space="0" w:color="C0504D"/>
              <w:right w:val="single" w:sz="12" w:space="0" w:color="C00000"/>
            </w:tcBorders>
            <w:shd w:val="clear" w:color="auto" w:fill="C40012"/>
          </w:tcPr>
          <w:p w14:paraId="49161F14" w14:textId="77777777" w:rsidR="00FC4D54" w:rsidRDefault="00FC4D54" w:rsidP="00FC4D54">
            <w:pPr>
              <w:spacing w:before="60" w:after="60" w:line="240" w:lineRule="auto"/>
              <w:rPr>
                <w:rFonts w:ascii="Arial" w:eastAsia="Times New Roman" w:hAnsi="Arial" w:cs="Arial"/>
                <w:color w:val="FFFFFF"/>
                <w:sz w:val="20"/>
                <w:szCs w:val="20"/>
                <w:lang w:eastAsia="en-GB"/>
              </w:rPr>
            </w:pPr>
          </w:p>
        </w:tc>
        <w:tc>
          <w:tcPr>
            <w:tcW w:w="2411" w:type="dxa"/>
            <w:tcBorders>
              <w:top w:val="single" w:sz="8" w:space="0" w:color="C0504D"/>
              <w:left w:val="nil"/>
              <w:bottom w:val="single" w:sz="8" w:space="0" w:color="C0504D"/>
              <w:right w:val="single" w:sz="12" w:space="0" w:color="C00000"/>
            </w:tcBorders>
            <w:shd w:val="clear" w:color="auto" w:fill="C40012"/>
            <w:hideMark/>
          </w:tcPr>
          <w:p w14:paraId="70B30F97" w14:textId="77777777" w:rsidR="00FC4D54" w:rsidRDefault="00FC4D54" w:rsidP="00FC4D54">
            <w:pPr>
              <w:spacing w:before="60" w:after="60" w:line="240" w:lineRule="auto"/>
              <w:rPr>
                <w:rFonts w:ascii="Arial" w:eastAsia="Times New Roman" w:hAnsi="Arial" w:cs="Arial"/>
                <w:sz w:val="20"/>
                <w:szCs w:val="20"/>
                <w:lang w:eastAsia="en-GB"/>
              </w:rPr>
            </w:pPr>
            <w:r>
              <w:rPr>
                <w:rFonts w:ascii="Arial" w:eastAsia="Times New Roman" w:hAnsi="Arial" w:cs="Arial"/>
                <w:color w:val="FFFFFF"/>
                <w:sz w:val="20"/>
                <w:szCs w:val="20"/>
                <w:lang w:eastAsia="en-GB"/>
              </w:rPr>
              <w:t>Structure &amp; resources</w:t>
            </w:r>
          </w:p>
        </w:tc>
        <w:tc>
          <w:tcPr>
            <w:tcW w:w="681" w:type="dxa"/>
            <w:tcBorders>
              <w:top w:val="single" w:sz="8" w:space="0" w:color="C0504D"/>
              <w:left w:val="single" w:sz="12" w:space="0" w:color="C00000"/>
              <w:bottom w:val="single" w:sz="8" w:space="0" w:color="C0504D"/>
              <w:right w:val="nil"/>
            </w:tcBorders>
            <w:shd w:val="clear" w:color="auto" w:fill="C40012"/>
          </w:tcPr>
          <w:p w14:paraId="2069FF15"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nil"/>
              <w:bottom w:val="single" w:sz="8" w:space="0" w:color="C0504D"/>
              <w:right w:val="nil"/>
            </w:tcBorders>
            <w:shd w:val="clear" w:color="auto" w:fill="C40012"/>
          </w:tcPr>
          <w:p w14:paraId="1D6B7969"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nil"/>
              <w:bottom w:val="single" w:sz="8" w:space="0" w:color="C0504D"/>
              <w:right w:val="nil"/>
            </w:tcBorders>
            <w:shd w:val="clear" w:color="auto" w:fill="C40012"/>
          </w:tcPr>
          <w:p w14:paraId="3F1D6E23"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nil"/>
              <w:bottom w:val="single" w:sz="8" w:space="0" w:color="C0504D"/>
              <w:right w:val="single" w:sz="8" w:space="0" w:color="C0504D"/>
            </w:tcBorders>
            <w:shd w:val="clear" w:color="auto" w:fill="C40012"/>
          </w:tcPr>
          <w:p w14:paraId="67170902" w14:textId="77777777" w:rsidR="00FC4D54" w:rsidRDefault="00FC4D54" w:rsidP="00FC4D54">
            <w:pPr>
              <w:spacing w:after="0" w:line="240" w:lineRule="auto"/>
              <w:ind w:left="34"/>
              <w:rPr>
                <w:rFonts w:ascii="Arial" w:eastAsia="Times New Roman" w:hAnsi="Arial" w:cs="Arial"/>
                <w:sz w:val="20"/>
                <w:szCs w:val="20"/>
                <w:lang w:eastAsia="en-GB"/>
              </w:rPr>
            </w:pPr>
          </w:p>
        </w:tc>
      </w:tr>
      <w:tr w:rsidR="00FC4D54" w14:paraId="36BC9199" w14:textId="77777777" w:rsidTr="001D2859">
        <w:trPr>
          <w:trHeight w:val="237"/>
        </w:trPr>
        <w:tc>
          <w:tcPr>
            <w:tcW w:w="818" w:type="dxa"/>
            <w:tcBorders>
              <w:top w:val="single" w:sz="8" w:space="0" w:color="C0504D"/>
              <w:left w:val="single" w:sz="8" w:space="0" w:color="C0504D"/>
              <w:bottom w:val="single" w:sz="8" w:space="0" w:color="C0504D"/>
              <w:right w:val="single" w:sz="12" w:space="0" w:color="C00000"/>
            </w:tcBorders>
            <w:hideMark/>
          </w:tcPr>
          <w:p w14:paraId="0E453476" w14:textId="77777777" w:rsidR="00FC4D54" w:rsidRDefault="00FC4D54" w:rsidP="00FC4D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1200</w:t>
            </w:r>
          </w:p>
        </w:tc>
        <w:tc>
          <w:tcPr>
            <w:tcW w:w="2411" w:type="dxa"/>
            <w:tcBorders>
              <w:top w:val="single" w:sz="8" w:space="0" w:color="C0504D"/>
              <w:left w:val="nil"/>
              <w:bottom w:val="single" w:sz="8" w:space="0" w:color="C0504D"/>
              <w:right w:val="single" w:sz="12" w:space="0" w:color="C00000"/>
            </w:tcBorders>
            <w:hideMark/>
          </w:tcPr>
          <w:p w14:paraId="0FFA4572" w14:textId="77777777" w:rsidR="00FC4D54" w:rsidRDefault="00FC4D54" w:rsidP="00FC4D54">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 xml:space="preserve">Competencies </w:t>
            </w:r>
          </w:p>
        </w:tc>
        <w:tc>
          <w:tcPr>
            <w:tcW w:w="681" w:type="dxa"/>
            <w:tcBorders>
              <w:top w:val="single" w:sz="8" w:space="0" w:color="C0504D"/>
              <w:left w:val="single" w:sz="12" w:space="0" w:color="C00000"/>
              <w:bottom w:val="single" w:sz="8" w:space="0" w:color="C0504D"/>
              <w:right w:val="single" w:sz="8" w:space="0" w:color="C0504D"/>
            </w:tcBorders>
            <w:hideMark/>
          </w:tcPr>
          <w:p w14:paraId="0F46F132" w14:textId="77777777" w:rsidR="00FC4D54" w:rsidRDefault="00FC4D54" w:rsidP="00FC4D54">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2F9FC948"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1FF998E3"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456B0C1D" w14:textId="43023572" w:rsidR="00FC4D54" w:rsidRDefault="00FC4D54" w:rsidP="00FC4D54">
            <w:pPr>
              <w:spacing w:after="0" w:line="240" w:lineRule="auto"/>
              <w:ind w:left="34"/>
              <w:rPr>
                <w:rFonts w:ascii="Arial" w:eastAsia="Times New Roman" w:hAnsi="Arial" w:cs="Arial"/>
                <w:sz w:val="20"/>
                <w:szCs w:val="20"/>
                <w:lang w:eastAsia="en-GB"/>
              </w:rPr>
            </w:pPr>
          </w:p>
        </w:tc>
      </w:tr>
      <w:tr w:rsidR="00FC4D54" w14:paraId="32F986FA" w14:textId="77777777" w:rsidTr="001D2859">
        <w:trPr>
          <w:trHeight w:val="539"/>
        </w:trPr>
        <w:tc>
          <w:tcPr>
            <w:tcW w:w="818" w:type="dxa"/>
            <w:tcBorders>
              <w:top w:val="single" w:sz="8" w:space="0" w:color="C0504D"/>
              <w:left w:val="single" w:sz="8" w:space="0" w:color="C0504D"/>
              <w:bottom w:val="single" w:sz="8" w:space="0" w:color="C0504D"/>
              <w:right w:val="single" w:sz="12" w:space="0" w:color="C00000"/>
            </w:tcBorders>
            <w:hideMark/>
          </w:tcPr>
          <w:p w14:paraId="7B2A64FC" w14:textId="77777777" w:rsidR="00FC4D54" w:rsidRDefault="00FC4D54" w:rsidP="00FC4D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1210</w:t>
            </w:r>
          </w:p>
        </w:tc>
        <w:tc>
          <w:tcPr>
            <w:tcW w:w="2411" w:type="dxa"/>
            <w:tcBorders>
              <w:top w:val="single" w:sz="8" w:space="0" w:color="C0504D"/>
              <w:left w:val="nil"/>
              <w:bottom w:val="single" w:sz="8" w:space="0" w:color="C0504D"/>
              <w:right w:val="single" w:sz="12" w:space="0" w:color="C00000"/>
            </w:tcBorders>
            <w:hideMark/>
          </w:tcPr>
          <w:p w14:paraId="2470FF8D" w14:textId="77777777" w:rsidR="00FC4D54" w:rsidRDefault="00FC4D54" w:rsidP="00FC4D54">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Technical training &amp; development</w:t>
            </w:r>
          </w:p>
        </w:tc>
        <w:tc>
          <w:tcPr>
            <w:tcW w:w="681" w:type="dxa"/>
            <w:tcBorders>
              <w:top w:val="single" w:sz="8" w:space="0" w:color="C0504D"/>
              <w:left w:val="single" w:sz="12" w:space="0" w:color="C00000"/>
              <w:bottom w:val="single" w:sz="8" w:space="0" w:color="C0504D"/>
              <w:right w:val="single" w:sz="8" w:space="0" w:color="C0504D"/>
            </w:tcBorders>
            <w:hideMark/>
          </w:tcPr>
          <w:p w14:paraId="1E087C32" w14:textId="77777777" w:rsidR="00FC4D54" w:rsidRDefault="00FC4D54" w:rsidP="00FC4D54">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469157F1"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50E780DB"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5C473643" w14:textId="2C54CE69" w:rsidR="00FC4D54" w:rsidRDefault="00FC4D54" w:rsidP="00C42CCC">
            <w:pPr>
              <w:spacing w:after="0" w:line="240" w:lineRule="auto"/>
              <w:rPr>
                <w:rFonts w:ascii="Arial" w:eastAsia="Times New Roman" w:hAnsi="Arial" w:cs="Arial"/>
                <w:sz w:val="20"/>
                <w:szCs w:val="20"/>
                <w:lang w:eastAsia="en-GB"/>
              </w:rPr>
            </w:pPr>
          </w:p>
        </w:tc>
      </w:tr>
      <w:tr w:rsidR="00FC4D54" w14:paraId="40850800" w14:textId="77777777" w:rsidTr="001D2859">
        <w:trPr>
          <w:trHeight w:val="263"/>
        </w:trPr>
        <w:tc>
          <w:tcPr>
            <w:tcW w:w="818" w:type="dxa"/>
            <w:tcBorders>
              <w:top w:val="single" w:sz="8" w:space="0" w:color="C0504D"/>
              <w:left w:val="single" w:sz="8" w:space="0" w:color="C0504D"/>
              <w:bottom w:val="single" w:sz="8" w:space="0" w:color="C0504D"/>
              <w:right w:val="single" w:sz="12" w:space="0" w:color="C00000"/>
            </w:tcBorders>
            <w:hideMark/>
          </w:tcPr>
          <w:p w14:paraId="29BBE81C" w14:textId="77777777" w:rsidR="00FC4D54" w:rsidRDefault="00FC4D54" w:rsidP="00FC4D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1220</w:t>
            </w:r>
          </w:p>
        </w:tc>
        <w:tc>
          <w:tcPr>
            <w:tcW w:w="2411" w:type="dxa"/>
            <w:tcBorders>
              <w:top w:val="single" w:sz="8" w:space="0" w:color="C0504D"/>
              <w:left w:val="nil"/>
              <w:bottom w:val="single" w:sz="8" w:space="0" w:color="C0504D"/>
              <w:right w:val="single" w:sz="12" w:space="0" w:color="C00000"/>
            </w:tcBorders>
            <w:hideMark/>
          </w:tcPr>
          <w:p w14:paraId="28C431FF" w14:textId="77777777" w:rsidR="00FC4D54" w:rsidRDefault="00FC4D54" w:rsidP="00FC4D54">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Resourcing</w:t>
            </w:r>
          </w:p>
        </w:tc>
        <w:tc>
          <w:tcPr>
            <w:tcW w:w="681" w:type="dxa"/>
            <w:tcBorders>
              <w:top w:val="single" w:sz="8" w:space="0" w:color="C0504D"/>
              <w:left w:val="single" w:sz="12" w:space="0" w:color="C00000"/>
              <w:bottom w:val="single" w:sz="8" w:space="0" w:color="C0504D"/>
              <w:right w:val="single" w:sz="8" w:space="0" w:color="C0504D"/>
            </w:tcBorders>
          </w:tcPr>
          <w:p w14:paraId="09BEC37B" w14:textId="570C338D" w:rsidR="00FC4D54" w:rsidRDefault="00FC4D54" w:rsidP="00FC4D54">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hideMark/>
          </w:tcPr>
          <w:p w14:paraId="765DEFDE" w14:textId="0A229F23"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0CC7FB9B"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hideMark/>
          </w:tcPr>
          <w:p w14:paraId="6F0C28C5" w14:textId="521E864E" w:rsidR="00FC4D54" w:rsidRDefault="00FC4D54" w:rsidP="00FC4D54">
            <w:pPr>
              <w:spacing w:after="0" w:line="240" w:lineRule="auto"/>
              <w:ind w:left="34"/>
              <w:rPr>
                <w:rFonts w:ascii="Arial" w:eastAsia="Times New Roman" w:hAnsi="Arial" w:cs="Arial"/>
                <w:sz w:val="20"/>
                <w:szCs w:val="20"/>
                <w:lang w:eastAsia="en-GB"/>
              </w:rPr>
            </w:pPr>
          </w:p>
        </w:tc>
      </w:tr>
      <w:tr w:rsidR="00FC4D54" w14:paraId="060F76BF" w14:textId="77777777" w:rsidTr="001D2859">
        <w:trPr>
          <w:trHeight w:val="267"/>
        </w:trPr>
        <w:tc>
          <w:tcPr>
            <w:tcW w:w="818" w:type="dxa"/>
            <w:tcBorders>
              <w:top w:val="single" w:sz="8" w:space="0" w:color="C0504D"/>
              <w:left w:val="single" w:sz="8" w:space="0" w:color="C0504D"/>
              <w:bottom w:val="single" w:sz="8" w:space="0" w:color="C0504D"/>
              <w:right w:val="single" w:sz="12" w:space="0" w:color="C00000"/>
            </w:tcBorders>
            <w:hideMark/>
          </w:tcPr>
          <w:p w14:paraId="4A90BA59" w14:textId="77777777" w:rsidR="00FC4D54" w:rsidRDefault="00FC4D54" w:rsidP="00FC4D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1230</w:t>
            </w:r>
          </w:p>
        </w:tc>
        <w:tc>
          <w:tcPr>
            <w:tcW w:w="2411" w:type="dxa"/>
            <w:tcBorders>
              <w:top w:val="single" w:sz="8" w:space="0" w:color="C0504D"/>
              <w:left w:val="nil"/>
              <w:bottom w:val="single" w:sz="8" w:space="0" w:color="C0504D"/>
              <w:right w:val="single" w:sz="12" w:space="0" w:color="C00000"/>
            </w:tcBorders>
            <w:hideMark/>
          </w:tcPr>
          <w:p w14:paraId="2D49B3B6" w14:textId="77777777" w:rsidR="00FC4D54" w:rsidRDefault="00FC4D54" w:rsidP="00FC4D54">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Performance management</w:t>
            </w:r>
          </w:p>
        </w:tc>
        <w:tc>
          <w:tcPr>
            <w:tcW w:w="681" w:type="dxa"/>
            <w:tcBorders>
              <w:top w:val="single" w:sz="8" w:space="0" w:color="C0504D"/>
              <w:left w:val="single" w:sz="12" w:space="0" w:color="C00000"/>
              <w:bottom w:val="single" w:sz="8" w:space="0" w:color="C0504D"/>
              <w:right w:val="single" w:sz="8" w:space="0" w:color="C0504D"/>
            </w:tcBorders>
            <w:hideMark/>
          </w:tcPr>
          <w:p w14:paraId="7F801C9D" w14:textId="77777777" w:rsidR="00FC4D54" w:rsidRDefault="00FC4D54" w:rsidP="00FC4D54">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70D6A885"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760BEF53"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42E92A7B" w14:textId="77777777" w:rsidR="00FC4D54" w:rsidRDefault="00FC4D54" w:rsidP="00FC4D54">
            <w:pPr>
              <w:spacing w:after="0" w:line="240" w:lineRule="auto"/>
              <w:ind w:left="34"/>
              <w:rPr>
                <w:rFonts w:ascii="Arial" w:eastAsia="Times New Roman" w:hAnsi="Arial" w:cs="Arial"/>
                <w:sz w:val="20"/>
                <w:szCs w:val="20"/>
                <w:lang w:eastAsia="en-GB"/>
              </w:rPr>
            </w:pPr>
          </w:p>
        </w:tc>
      </w:tr>
      <w:tr w:rsidR="00FC4D54" w14:paraId="75CB90B2" w14:textId="77777777" w:rsidTr="001D2859">
        <w:trPr>
          <w:trHeight w:val="271"/>
        </w:trPr>
        <w:tc>
          <w:tcPr>
            <w:tcW w:w="818" w:type="dxa"/>
            <w:tcBorders>
              <w:top w:val="single" w:sz="8" w:space="0" w:color="C0504D"/>
              <w:left w:val="single" w:sz="8" w:space="0" w:color="C0504D"/>
              <w:bottom w:val="single" w:sz="8" w:space="0" w:color="C0504D"/>
              <w:right w:val="single" w:sz="12" w:space="0" w:color="C00000"/>
            </w:tcBorders>
            <w:hideMark/>
          </w:tcPr>
          <w:p w14:paraId="1A4B2A7F" w14:textId="77777777" w:rsidR="00FC4D54" w:rsidRDefault="00FC4D54" w:rsidP="00FC4D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1230</w:t>
            </w:r>
          </w:p>
        </w:tc>
        <w:tc>
          <w:tcPr>
            <w:tcW w:w="2411" w:type="dxa"/>
            <w:tcBorders>
              <w:top w:val="single" w:sz="8" w:space="0" w:color="C0504D"/>
              <w:left w:val="nil"/>
              <w:bottom w:val="single" w:sz="8" w:space="0" w:color="C0504D"/>
              <w:right w:val="single" w:sz="12" w:space="0" w:color="C00000"/>
            </w:tcBorders>
            <w:hideMark/>
          </w:tcPr>
          <w:p w14:paraId="50AA0AF3" w14:textId="77777777" w:rsidR="00FC4D54" w:rsidRDefault="00FC4D54" w:rsidP="00FC4D54">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Knowledge management</w:t>
            </w:r>
          </w:p>
        </w:tc>
        <w:tc>
          <w:tcPr>
            <w:tcW w:w="681" w:type="dxa"/>
            <w:tcBorders>
              <w:top w:val="single" w:sz="8" w:space="0" w:color="C0504D"/>
              <w:left w:val="single" w:sz="12" w:space="0" w:color="C00000"/>
              <w:bottom w:val="single" w:sz="8" w:space="0" w:color="C0504D"/>
              <w:right w:val="single" w:sz="8" w:space="0" w:color="C0504D"/>
            </w:tcBorders>
            <w:hideMark/>
          </w:tcPr>
          <w:p w14:paraId="2672EAB0" w14:textId="77777777" w:rsidR="00FC4D54" w:rsidRDefault="00FC4D54" w:rsidP="00FC4D54">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21A236AF"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67189BC2"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361C468E" w14:textId="77777777" w:rsidR="00FC4D54" w:rsidRDefault="00FC4D54" w:rsidP="00FC4D54">
            <w:pPr>
              <w:spacing w:after="0" w:line="240" w:lineRule="auto"/>
              <w:ind w:left="34"/>
              <w:rPr>
                <w:rFonts w:ascii="Arial" w:eastAsia="Times New Roman" w:hAnsi="Arial" w:cs="Arial"/>
                <w:sz w:val="20"/>
                <w:szCs w:val="20"/>
                <w:lang w:eastAsia="en-GB"/>
              </w:rPr>
            </w:pPr>
          </w:p>
        </w:tc>
      </w:tr>
      <w:tr w:rsidR="00FC4D54" w14:paraId="44D652F2" w14:textId="77777777" w:rsidTr="001D2859">
        <w:trPr>
          <w:trHeight w:val="423"/>
        </w:trPr>
        <w:tc>
          <w:tcPr>
            <w:tcW w:w="818" w:type="dxa"/>
            <w:tcBorders>
              <w:top w:val="single" w:sz="8" w:space="0" w:color="C0504D"/>
              <w:left w:val="single" w:sz="8" w:space="0" w:color="C0504D"/>
              <w:bottom w:val="single" w:sz="8" w:space="0" w:color="C0504D"/>
              <w:right w:val="single" w:sz="12" w:space="0" w:color="C00000"/>
            </w:tcBorders>
            <w:shd w:val="clear" w:color="auto" w:fill="C40012"/>
          </w:tcPr>
          <w:p w14:paraId="1D7AF813" w14:textId="77777777" w:rsidR="00FC4D54" w:rsidRDefault="00FC4D54" w:rsidP="00FC4D54">
            <w:pPr>
              <w:spacing w:before="60" w:after="60" w:line="240" w:lineRule="auto"/>
              <w:rPr>
                <w:rFonts w:ascii="Arial" w:eastAsia="Times New Roman" w:hAnsi="Arial" w:cs="Arial"/>
                <w:color w:val="FFFFFF"/>
                <w:sz w:val="20"/>
                <w:szCs w:val="20"/>
                <w:lang w:eastAsia="en-GB"/>
              </w:rPr>
            </w:pPr>
          </w:p>
        </w:tc>
        <w:tc>
          <w:tcPr>
            <w:tcW w:w="2411" w:type="dxa"/>
            <w:tcBorders>
              <w:top w:val="single" w:sz="8" w:space="0" w:color="C0504D"/>
              <w:left w:val="nil"/>
              <w:bottom w:val="single" w:sz="8" w:space="0" w:color="C0504D"/>
              <w:right w:val="single" w:sz="12" w:space="0" w:color="C00000"/>
            </w:tcBorders>
            <w:shd w:val="clear" w:color="auto" w:fill="C40012"/>
            <w:hideMark/>
          </w:tcPr>
          <w:p w14:paraId="118BAAAD" w14:textId="77777777" w:rsidR="00FC4D54" w:rsidRDefault="00FC4D54" w:rsidP="00FC4D54">
            <w:pPr>
              <w:spacing w:before="60" w:after="6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Audit execution</w:t>
            </w:r>
          </w:p>
        </w:tc>
        <w:tc>
          <w:tcPr>
            <w:tcW w:w="681" w:type="dxa"/>
            <w:tcBorders>
              <w:top w:val="single" w:sz="8" w:space="0" w:color="C0504D"/>
              <w:left w:val="single" w:sz="12" w:space="0" w:color="C00000"/>
              <w:bottom w:val="single" w:sz="8" w:space="0" w:color="C0504D"/>
              <w:right w:val="nil"/>
            </w:tcBorders>
            <w:shd w:val="clear" w:color="auto" w:fill="C40012"/>
          </w:tcPr>
          <w:p w14:paraId="361F640C"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nil"/>
              <w:bottom w:val="single" w:sz="8" w:space="0" w:color="C0504D"/>
              <w:right w:val="nil"/>
            </w:tcBorders>
            <w:shd w:val="clear" w:color="auto" w:fill="C40012"/>
          </w:tcPr>
          <w:p w14:paraId="6D4DF8D9"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nil"/>
              <w:bottom w:val="single" w:sz="8" w:space="0" w:color="C0504D"/>
              <w:right w:val="nil"/>
            </w:tcBorders>
            <w:shd w:val="clear" w:color="auto" w:fill="C40012"/>
          </w:tcPr>
          <w:p w14:paraId="63508A86"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nil"/>
              <w:bottom w:val="single" w:sz="8" w:space="0" w:color="C0504D"/>
              <w:right w:val="single" w:sz="8" w:space="0" w:color="C0504D"/>
            </w:tcBorders>
            <w:shd w:val="clear" w:color="auto" w:fill="C40012"/>
          </w:tcPr>
          <w:p w14:paraId="23DF33E3" w14:textId="77777777" w:rsidR="00FC4D54" w:rsidRDefault="00FC4D54" w:rsidP="00FC4D54">
            <w:pPr>
              <w:spacing w:after="0" w:line="240" w:lineRule="auto"/>
              <w:ind w:left="34"/>
              <w:rPr>
                <w:rFonts w:ascii="Arial" w:eastAsia="Times New Roman" w:hAnsi="Arial" w:cs="Arial"/>
                <w:sz w:val="20"/>
                <w:szCs w:val="20"/>
                <w:lang w:eastAsia="en-GB"/>
              </w:rPr>
            </w:pPr>
          </w:p>
        </w:tc>
      </w:tr>
      <w:tr w:rsidR="00FC4D54" w14:paraId="77C910A4" w14:textId="77777777" w:rsidTr="001D2859">
        <w:trPr>
          <w:trHeight w:val="483"/>
        </w:trPr>
        <w:tc>
          <w:tcPr>
            <w:tcW w:w="818" w:type="dxa"/>
            <w:tcBorders>
              <w:top w:val="single" w:sz="8" w:space="0" w:color="C0504D"/>
              <w:left w:val="single" w:sz="8" w:space="0" w:color="C0504D"/>
              <w:bottom w:val="single" w:sz="8" w:space="0" w:color="C0504D"/>
              <w:right w:val="single" w:sz="12" w:space="0" w:color="C00000"/>
            </w:tcBorders>
            <w:hideMark/>
          </w:tcPr>
          <w:p w14:paraId="6D38F2B1" w14:textId="77777777" w:rsidR="00FC4D54" w:rsidRDefault="00FC4D54" w:rsidP="00FC4D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1300</w:t>
            </w:r>
          </w:p>
        </w:tc>
        <w:tc>
          <w:tcPr>
            <w:tcW w:w="2411" w:type="dxa"/>
            <w:tcBorders>
              <w:top w:val="single" w:sz="8" w:space="0" w:color="C0504D"/>
              <w:left w:val="nil"/>
              <w:bottom w:val="single" w:sz="8" w:space="0" w:color="C0504D"/>
              <w:right w:val="single" w:sz="12" w:space="0" w:color="C00000"/>
            </w:tcBorders>
            <w:hideMark/>
          </w:tcPr>
          <w:p w14:paraId="3CC355E7" w14:textId="77777777" w:rsidR="00FC4D54" w:rsidRDefault="00FC4D54" w:rsidP="00FC4D54">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Quality Assurance &amp; Improvement Programme</w:t>
            </w:r>
          </w:p>
        </w:tc>
        <w:tc>
          <w:tcPr>
            <w:tcW w:w="681" w:type="dxa"/>
            <w:tcBorders>
              <w:top w:val="single" w:sz="8" w:space="0" w:color="C0504D"/>
              <w:left w:val="single" w:sz="12" w:space="0" w:color="C00000"/>
              <w:bottom w:val="single" w:sz="8" w:space="0" w:color="C0504D"/>
              <w:right w:val="single" w:sz="8" w:space="0" w:color="C0504D"/>
            </w:tcBorders>
            <w:hideMark/>
          </w:tcPr>
          <w:p w14:paraId="2CC36473" w14:textId="77777777" w:rsidR="00FC4D54" w:rsidRDefault="00FC4D54" w:rsidP="00FC4D54">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5EF147F9"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6962FE23" w14:textId="77777777" w:rsidR="00FC4D54" w:rsidRDefault="00FC4D54" w:rsidP="00FC4D54">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15BC6706" w14:textId="49C6A25D" w:rsidR="00FC4D54" w:rsidRDefault="00246B0D" w:rsidP="00C42CC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See 3.4.</w:t>
            </w:r>
            <w:r w:rsidR="0090498F">
              <w:rPr>
                <w:rFonts w:ascii="Arial" w:eastAsia="Times New Roman" w:hAnsi="Arial" w:cs="Arial"/>
                <w:sz w:val="20"/>
                <w:szCs w:val="20"/>
                <w:lang w:eastAsia="en-GB"/>
              </w:rPr>
              <w:t>2</w:t>
            </w:r>
          </w:p>
        </w:tc>
      </w:tr>
      <w:tr w:rsidR="00A22FBC" w14:paraId="64AC7207" w14:textId="77777777" w:rsidTr="001D2859">
        <w:trPr>
          <w:trHeight w:val="229"/>
        </w:trPr>
        <w:tc>
          <w:tcPr>
            <w:tcW w:w="818" w:type="dxa"/>
            <w:tcBorders>
              <w:top w:val="single" w:sz="8" w:space="0" w:color="C0504D"/>
              <w:left w:val="single" w:sz="8" w:space="0" w:color="C0504D"/>
              <w:bottom w:val="single" w:sz="8" w:space="0" w:color="C0504D"/>
              <w:right w:val="single" w:sz="12" w:space="0" w:color="C00000"/>
            </w:tcBorders>
            <w:hideMark/>
          </w:tcPr>
          <w:p w14:paraId="77905E02" w14:textId="77777777" w:rsidR="00A22FBC" w:rsidRDefault="00A22FBC" w:rsidP="00A22FB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2000</w:t>
            </w:r>
          </w:p>
        </w:tc>
        <w:tc>
          <w:tcPr>
            <w:tcW w:w="2411" w:type="dxa"/>
            <w:tcBorders>
              <w:top w:val="single" w:sz="8" w:space="0" w:color="C0504D"/>
              <w:left w:val="nil"/>
              <w:bottom w:val="single" w:sz="8" w:space="0" w:color="C0504D"/>
              <w:right w:val="single" w:sz="12" w:space="0" w:color="C00000"/>
            </w:tcBorders>
            <w:hideMark/>
          </w:tcPr>
          <w:p w14:paraId="78736B6F" w14:textId="77777777" w:rsidR="00A22FBC" w:rsidRDefault="00A22FBC" w:rsidP="00A22FBC">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Management of the IA function</w:t>
            </w:r>
          </w:p>
        </w:tc>
        <w:tc>
          <w:tcPr>
            <w:tcW w:w="681" w:type="dxa"/>
            <w:tcBorders>
              <w:top w:val="single" w:sz="8" w:space="0" w:color="C0504D"/>
              <w:left w:val="single" w:sz="12" w:space="0" w:color="C00000"/>
              <w:bottom w:val="single" w:sz="8" w:space="0" w:color="C0504D"/>
              <w:right w:val="single" w:sz="8" w:space="0" w:color="C0504D"/>
            </w:tcBorders>
            <w:hideMark/>
          </w:tcPr>
          <w:p w14:paraId="7EED7323" w14:textId="77777777" w:rsidR="00A22FBC" w:rsidRDefault="00A22FBC" w:rsidP="00A22FBC">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7667029E" w14:textId="77777777" w:rsidR="00A22FBC" w:rsidRDefault="00A22FBC" w:rsidP="00A22FBC">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68DC5FCE" w14:textId="77777777" w:rsidR="00A22FBC" w:rsidRDefault="00A22FBC" w:rsidP="00A22FBC">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69545E24" w14:textId="677E0D60" w:rsidR="00A22FBC" w:rsidRDefault="00A22FBC" w:rsidP="00A22FBC">
            <w:pPr>
              <w:spacing w:after="0" w:line="240" w:lineRule="auto"/>
              <w:ind w:left="34"/>
              <w:rPr>
                <w:rFonts w:ascii="Arial" w:eastAsia="Times New Roman" w:hAnsi="Arial" w:cs="Arial"/>
                <w:sz w:val="20"/>
                <w:szCs w:val="20"/>
                <w:lang w:eastAsia="en-GB"/>
              </w:rPr>
            </w:pPr>
            <w:r>
              <w:rPr>
                <w:rFonts w:ascii="Arial" w:eastAsia="Times New Roman" w:hAnsi="Arial" w:cs="Arial"/>
                <w:sz w:val="20"/>
                <w:szCs w:val="20"/>
                <w:lang w:eastAsia="en-GB"/>
              </w:rPr>
              <w:t>See 3.4.</w:t>
            </w:r>
            <w:r w:rsidR="0090498F">
              <w:rPr>
                <w:rFonts w:ascii="Arial" w:eastAsia="Times New Roman" w:hAnsi="Arial" w:cs="Arial"/>
                <w:sz w:val="20"/>
                <w:szCs w:val="20"/>
                <w:lang w:eastAsia="en-GB"/>
              </w:rPr>
              <w:t>4</w:t>
            </w:r>
          </w:p>
        </w:tc>
      </w:tr>
      <w:tr w:rsidR="00A22FBC" w14:paraId="2902E979" w14:textId="77777777" w:rsidTr="001D2859">
        <w:trPr>
          <w:trHeight w:val="247"/>
        </w:trPr>
        <w:tc>
          <w:tcPr>
            <w:tcW w:w="818" w:type="dxa"/>
            <w:tcBorders>
              <w:top w:val="single" w:sz="8" w:space="0" w:color="C0504D"/>
              <w:left w:val="single" w:sz="8" w:space="0" w:color="C0504D"/>
              <w:bottom w:val="single" w:sz="8" w:space="0" w:color="C0504D"/>
              <w:right w:val="single" w:sz="12" w:space="0" w:color="C00000"/>
            </w:tcBorders>
            <w:hideMark/>
          </w:tcPr>
          <w:p w14:paraId="469F6669" w14:textId="77777777" w:rsidR="00A22FBC" w:rsidRDefault="00A22FBC" w:rsidP="00A22FB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2200</w:t>
            </w:r>
          </w:p>
        </w:tc>
        <w:tc>
          <w:tcPr>
            <w:tcW w:w="2411" w:type="dxa"/>
            <w:tcBorders>
              <w:top w:val="single" w:sz="8" w:space="0" w:color="C0504D"/>
              <w:left w:val="nil"/>
              <w:bottom w:val="single" w:sz="8" w:space="0" w:color="C0504D"/>
              <w:right w:val="single" w:sz="12" w:space="0" w:color="C00000"/>
            </w:tcBorders>
            <w:hideMark/>
          </w:tcPr>
          <w:p w14:paraId="6C28AB40" w14:textId="77777777" w:rsidR="00A22FBC" w:rsidRDefault="00A22FBC" w:rsidP="00A22FBC">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Engagement planning</w:t>
            </w:r>
          </w:p>
        </w:tc>
        <w:tc>
          <w:tcPr>
            <w:tcW w:w="681" w:type="dxa"/>
            <w:tcBorders>
              <w:top w:val="single" w:sz="8" w:space="0" w:color="C0504D"/>
              <w:left w:val="single" w:sz="12" w:space="0" w:color="C00000"/>
              <w:bottom w:val="single" w:sz="8" w:space="0" w:color="C0504D"/>
              <w:right w:val="single" w:sz="8" w:space="0" w:color="C0504D"/>
            </w:tcBorders>
            <w:hideMark/>
          </w:tcPr>
          <w:p w14:paraId="6F3E9FAC" w14:textId="77777777" w:rsidR="00A22FBC" w:rsidRDefault="00A22FBC" w:rsidP="00A22FBC">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50807934" w14:textId="77777777" w:rsidR="00A22FBC" w:rsidRDefault="00A22FBC" w:rsidP="00A22FBC">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6BB69322" w14:textId="77777777" w:rsidR="00A22FBC" w:rsidRDefault="00A22FBC" w:rsidP="00A22FBC">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563777FC" w14:textId="55016676" w:rsidR="00A22FBC" w:rsidRDefault="00A22FBC" w:rsidP="00A22FBC">
            <w:pPr>
              <w:spacing w:after="0" w:line="240" w:lineRule="auto"/>
              <w:ind w:left="34"/>
              <w:rPr>
                <w:rFonts w:ascii="Arial" w:eastAsia="Times New Roman" w:hAnsi="Arial" w:cs="Arial"/>
                <w:sz w:val="20"/>
                <w:szCs w:val="20"/>
                <w:lang w:eastAsia="en-GB"/>
              </w:rPr>
            </w:pPr>
          </w:p>
        </w:tc>
      </w:tr>
      <w:tr w:rsidR="00A22FBC" w14:paraId="0509545E" w14:textId="77777777" w:rsidTr="001D2859">
        <w:trPr>
          <w:trHeight w:val="247"/>
        </w:trPr>
        <w:tc>
          <w:tcPr>
            <w:tcW w:w="818" w:type="dxa"/>
            <w:tcBorders>
              <w:top w:val="single" w:sz="8" w:space="0" w:color="C0504D"/>
              <w:left w:val="single" w:sz="8" w:space="0" w:color="C0504D"/>
              <w:bottom w:val="single" w:sz="8" w:space="0" w:color="C0504D"/>
              <w:right w:val="single" w:sz="12" w:space="0" w:color="C00000"/>
            </w:tcBorders>
            <w:hideMark/>
          </w:tcPr>
          <w:p w14:paraId="6FC38226" w14:textId="77777777" w:rsidR="00A22FBC" w:rsidRDefault="00A22FBC" w:rsidP="00A22FB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2300</w:t>
            </w:r>
          </w:p>
        </w:tc>
        <w:tc>
          <w:tcPr>
            <w:tcW w:w="2411" w:type="dxa"/>
            <w:tcBorders>
              <w:top w:val="single" w:sz="8" w:space="0" w:color="C0504D"/>
              <w:left w:val="nil"/>
              <w:bottom w:val="single" w:sz="8" w:space="0" w:color="C0504D"/>
              <w:right w:val="single" w:sz="12" w:space="0" w:color="C00000"/>
            </w:tcBorders>
            <w:hideMark/>
          </w:tcPr>
          <w:p w14:paraId="3A64D8AD" w14:textId="77777777" w:rsidR="00A22FBC" w:rsidRDefault="00A22FBC" w:rsidP="00A22FBC">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Engagement delivery</w:t>
            </w:r>
          </w:p>
        </w:tc>
        <w:tc>
          <w:tcPr>
            <w:tcW w:w="681" w:type="dxa"/>
            <w:tcBorders>
              <w:top w:val="single" w:sz="8" w:space="0" w:color="C0504D"/>
              <w:left w:val="single" w:sz="12" w:space="0" w:color="C00000"/>
              <w:bottom w:val="single" w:sz="8" w:space="0" w:color="C0504D"/>
              <w:right w:val="single" w:sz="8" w:space="0" w:color="C0504D"/>
            </w:tcBorders>
            <w:hideMark/>
          </w:tcPr>
          <w:p w14:paraId="49D93BD7" w14:textId="77777777" w:rsidR="00A22FBC" w:rsidRDefault="00A22FBC" w:rsidP="00A22FBC">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2DD97C86" w14:textId="77777777" w:rsidR="00A22FBC" w:rsidRDefault="00A22FBC" w:rsidP="00A22FBC">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0B8AFD38" w14:textId="77777777" w:rsidR="00A22FBC" w:rsidRDefault="00A22FBC" w:rsidP="00A22FBC">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6E210D54" w14:textId="77777777" w:rsidR="00A22FBC" w:rsidRDefault="00A22FBC" w:rsidP="00A22FBC">
            <w:pPr>
              <w:spacing w:after="0" w:line="240" w:lineRule="auto"/>
              <w:ind w:left="34"/>
              <w:rPr>
                <w:rFonts w:ascii="Arial" w:eastAsia="Times New Roman" w:hAnsi="Arial" w:cs="Arial"/>
                <w:sz w:val="20"/>
                <w:szCs w:val="20"/>
                <w:lang w:eastAsia="en-GB"/>
              </w:rPr>
            </w:pPr>
          </w:p>
        </w:tc>
      </w:tr>
      <w:tr w:rsidR="00A22FBC" w14:paraId="237A7117" w14:textId="77777777" w:rsidTr="001D2859">
        <w:trPr>
          <w:trHeight w:val="251"/>
        </w:trPr>
        <w:tc>
          <w:tcPr>
            <w:tcW w:w="818" w:type="dxa"/>
            <w:tcBorders>
              <w:top w:val="single" w:sz="8" w:space="0" w:color="C0504D"/>
              <w:left w:val="single" w:sz="8" w:space="0" w:color="C0504D"/>
              <w:bottom w:val="single" w:sz="8" w:space="0" w:color="C0504D"/>
              <w:right w:val="single" w:sz="12" w:space="0" w:color="C00000"/>
            </w:tcBorders>
            <w:hideMark/>
          </w:tcPr>
          <w:p w14:paraId="51F64F92" w14:textId="77777777" w:rsidR="00A22FBC" w:rsidRDefault="00A22FBC" w:rsidP="00A22FB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2400</w:t>
            </w:r>
          </w:p>
        </w:tc>
        <w:tc>
          <w:tcPr>
            <w:tcW w:w="2411" w:type="dxa"/>
            <w:tcBorders>
              <w:top w:val="single" w:sz="8" w:space="0" w:color="C0504D"/>
              <w:left w:val="nil"/>
              <w:bottom w:val="single" w:sz="8" w:space="0" w:color="C0504D"/>
              <w:right w:val="single" w:sz="12" w:space="0" w:color="C00000"/>
            </w:tcBorders>
            <w:hideMark/>
          </w:tcPr>
          <w:p w14:paraId="7157816F" w14:textId="77777777" w:rsidR="00A22FBC" w:rsidRDefault="00A22FBC" w:rsidP="00A22FBC">
            <w:pPr>
              <w:numPr>
                <w:ilvl w:val="0"/>
                <w:numId w:val="3"/>
              </w:numPr>
              <w:spacing w:after="0" w:line="240" w:lineRule="auto"/>
              <w:ind w:left="318" w:hanging="284"/>
              <w:rPr>
                <w:rFonts w:ascii="Arial" w:eastAsia="Times New Roman" w:hAnsi="Arial" w:cs="Arial"/>
                <w:sz w:val="20"/>
                <w:szCs w:val="20"/>
                <w:lang w:eastAsia="en-GB"/>
              </w:rPr>
            </w:pPr>
            <w:r>
              <w:rPr>
                <w:rFonts w:ascii="Arial" w:eastAsia="Times New Roman" w:hAnsi="Arial" w:cs="Arial"/>
                <w:sz w:val="20"/>
                <w:szCs w:val="20"/>
                <w:lang w:eastAsia="en-GB"/>
              </w:rPr>
              <w:t>Reporting</w:t>
            </w:r>
          </w:p>
        </w:tc>
        <w:tc>
          <w:tcPr>
            <w:tcW w:w="681" w:type="dxa"/>
            <w:tcBorders>
              <w:top w:val="single" w:sz="8" w:space="0" w:color="C0504D"/>
              <w:left w:val="single" w:sz="12" w:space="0" w:color="C00000"/>
              <w:bottom w:val="single" w:sz="8" w:space="0" w:color="C0504D"/>
              <w:right w:val="single" w:sz="8" w:space="0" w:color="C0504D"/>
            </w:tcBorders>
            <w:hideMark/>
          </w:tcPr>
          <w:p w14:paraId="450D60A8" w14:textId="77777777" w:rsidR="00A22FBC" w:rsidRDefault="00A22FBC" w:rsidP="00A22FBC">
            <w:pPr>
              <w:spacing w:after="0" w:line="240" w:lineRule="auto"/>
              <w:ind w:left="34"/>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2D41E513" w14:textId="77777777" w:rsidR="00A22FBC" w:rsidRDefault="00A22FBC" w:rsidP="00A22FBC">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53FDCDC9" w14:textId="77777777" w:rsidR="00A22FBC" w:rsidRDefault="00A22FBC" w:rsidP="00A22FBC">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4ACC8796" w14:textId="77777777" w:rsidR="00A22FBC" w:rsidRDefault="00A22FBC" w:rsidP="00A22FBC">
            <w:pPr>
              <w:spacing w:after="0" w:line="240" w:lineRule="auto"/>
              <w:ind w:left="34"/>
              <w:rPr>
                <w:rFonts w:ascii="Arial" w:eastAsia="Times New Roman" w:hAnsi="Arial" w:cs="Arial"/>
                <w:sz w:val="20"/>
                <w:szCs w:val="20"/>
                <w:lang w:eastAsia="en-GB"/>
              </w:rPr>
            </w:pPr>
          </w:p>
        </w:tc>
      </w:tr>
      <w:tr w:rsidR="00A22FBC" w14:paraId="4B68514E" w14:textId="77777777" w:rsidTr="001D2859">
        <w:trPr>
          <w:trHeight w:val="251"/>
        </w:trPr>
        <w:tc>
          <w:tcPr>
            <w:tcW w:w="818" w:type="dxa"/>
            <w:tcBorders>
              <w:top w:val="single" w:sz="8" w:space="0" w:color="C0504D"/>
              <w:left w:val="single" w:sz="8" w:space="0" w:color="C0504D"/>
              <w:bottom w:val="single" w:sz="8" w:space="0" w:color="C0504D"/>
              <w:right w:val="single" w:sz="12" w:space="0" w:color="C00000"/>
            </w:tcBorders>
            <w:hideMark/>
          </w:tcPr>
          <w:p w14:paraId="2B5152E7" w14:textId="77777777" w:rsidR="00A22FBC" w:rsidRPr="00C44661" w:rsidRDefault="00A22FBC" w:rsidP="00A22FBC">
            <w:pPr>
              <w:spacing w:after="0" w:line="240" w:lineRule="auto"/>
              <w:rPr>
                <w:rFonts w:ascii="Arial" w:eastAsia="Times New Roman" w:hAnsi="Arial" w:cs="Arial"/>
                <w:sz w:val="20"/>
                <w:szCs w:val="20"/>
                <w:lang w:eastAsia="en-GB"/>
              </w:rPr>
            </w:pPr>
            <w:r w:rsidRPr="00C44661">
              <w:rPr>
                <w:rFonts w:ascii="Arial" w:eastAsia="Times New Roman" w:hAnsi="Arial" w:cs="Arial"/>
                <w:sz w:val="20"/>
                <w:szCs w:val="20"/>
                <w:lang w:eastAsia="en-GB"/>
              </w:rPr>
              <w:t>2450</w:t>
            </w:r>
          </w:p>
        </w:tc>
        <w:tc>
          <w:tcPr>
            <w:tcW w:w="2411" w:type="dxa"/>
            <w:tcBorders>
              <w:top w:val="single" w:sz="8" w:space="0" w:color="C0504D"/>
              <w:left w:val="nil"/>
              <w:bottom w:val="single" w:sz="8" w:space="0" w:color="C0504D"/>
              <w:right w:val="single" w:sz="12" w:space="0" w:color="C00000"/>
            </w:tcBorders>
            <w:hideMark/>
          </w:tcPr>
          <w:p w14:paraId="69E62FB2" w14:textId="77777777" w:rsidR="00A22FBC" w:rsidRPr="00C44661" w:rsidRDefault="00A22FBC" w:rsidP="00A22FBC">
            <w:pPr>
              <w:numPr>
                <w:ilvl w:val="0"/>
                <w:numId w:val="3"/>
              </w:numPr>
              <w:spacing w:after="0" w:line="240" w:lineRule="auto"/>
              <w:ind w:left="318" w:hanging="284"/>
              <w:rPr>
                <w:rFonts w:ascii="Arial" w:eastAsia="Times New Roman" w:hAnsi="Arial" w:cs="Arial"/>
                <w:sz w:val="20"/>
                <w:szCs w:val="20"/>
                <w:lang w:eastAsia="en-GB"/>
              </w:rPr>
            </w:pPr>
            <w:r w:rsidRPr="00C44661">
              <w:rPr>
                <w:rFonts w:ascii="Arial" w:eastAsia="Times New Roman" w:hAnsi="Arial" w:cs="Arial"/>
                <w:sz w:val="20"/>
                <w:szCs w:val="20"/>
                <w:lang w:eastAsia="en-GB"/>
              </w:rPr>
              <w:t>Overall opinion</w:t>
            </w:r>
          </w:p>
        </w:tc>
        <w:tc>
          <w:tcPr>
            <w:tcW w:w="681" w:type="dxa"/>
            <w:tcBorders>
              <w:top w:val="single" w:sz="8" w:space="0" w:color="C0504D"/>
              <w:left w:val="single" w:sz="12" w:space="0" w:color="C00000"/>
              <w:bottom w:val="single" w:sz="8" w:space="0" w:color="C0504D"/>
              <w:right w:val="single" w:sz="8" w:space="0" w:color="C0504D"/>
            </w:tcBorders>
            <w:hideMark/>
          </w:tcPr>
          <w:p w14:paraId="3EC0C051" w14:textId="77777777" w:rsidR="00A22FBC" w:rsidRPr="00C44661" w:rsidRDefault="00A22FBC" w:rsidP="00A22FBC">
            <w:pPr>
              <w:spacing w:after="0" w:line="240" w:lineRule="auto"/>
              <w:ind w:left="34"/>
              <w:jc w:val="center"/>
              <w:rPr>
                <w:rFonts w:ascii="Arial" w:eastAsia="Times New Roman" w:hAnsi="Arial" w:cs="Arial"/>
                <w:sz w:val="20"/>
                <w:szCs w:val="20"/>
                <w:lang w:eastAsia="en-GB"/>
              </w:rPr>
            </w:pPr>
            <w:r w:rsidRPr="00C44661">
              <w:rPr>
                <w:rFonts w:ascii="Arial" w:eastAsia="Times New Roman" w:hAnsi="Arial" w:cs="Arial"/>
                <w:sz w:val="20"/>
                <w:szCs w:val="20"/>
                <w:lang w:eastAsia="en-GB"/>
              </w:rPr>
              <w:t>X</w:t>
            </w:r>
          </w:p>
        </w:tc>
        <w:tc>
          <w:tcPr>
            <w:tcW w:w="709" w:type="dxa"/>
            <w:tcBorders>
              <w:top w:val="single" w:sz="8" w:space="0" w:color="C0504D"/>
              <w:left w:val="single" w:sz="8" w:space="0" w:color="C0504D"/>
              <w:bottom w:val="single" w:sz="8" w:space="0" w:color="C0504D"/>
              <w:right w:val="single" w:sz="8" w:space="0" w:color="C0504D"/>
            </w:tcBorders>
          </w:tcPr>
          <w:p w14:paraId="039EB88C" w14:textId="77777777" w:rsidR="00A22FBC" w:rsidRPr="00C44661" w:rsidRDefault="00A22FBC" w:rsidP="00A22FBC">
            <w:pPr>
              <w:spacing w:after="0" w:line="240" w:lineRule="auto"/>
              <w:ind w:left="34"/>
              <w:jc w:val="center"/>
              <w:rPr>
                <w:rFonts w:ascii="Arial" w:eastAsia="Times New Roman" w:hAnsi="Arial" w:cs="Arial"/>
                <w:sz w:val="20"/>
                <w:szCs w:val="20"/>
                <w:lang w:eastAsia="en-GB"/>
              </w:rPr>
            </w:pPr>
          </w:p>
        </w:tc>
        <w:tc>
          <w:tcPr>
            <w:tcW w:w="709" w:type="dxa"/>
            <w:tcBorders>
              <w:top w:val="single" w:sz="8" w:space="0" w:color="C0504D"/>
              <w:left w:val="single" w:sz="8" w:space="0" w:color="C0504D"/>
              <w:bottom w:val="single" w:sz="8" w:space="0" w:color="C0504D"/>
              <w:right w:val="single" w:sz="8" w:space="0" w:color="C0504D"/>
            </w:tcBorders>
          </w:tcPr>
          <w:p w14:paraId="7B1A9385" w14:textId="77777777" w:rsidR="00A22FBC" w:rsidRPr="00C44661" w:rsidRDefault="00A22FBC" w:rsidP="00A22FBC">
            <w:pPr>
              <w:spacing w:after="0" w:line="240" w:lineRule="auto"/>
              <w:ind w:left="34"/>
              <w:jc w:val="center"/>
              <w:rPr>
                <w:rFonts w:ascii="Arial" w:eastAsia="Times New Roman" w:hAnsi="Arial" w:cs="Arial"/>
                <w:sz w:val="20"/>
                <w:szCs w:val="20"/>
                <w:lang w:eastAsia="en-GB"/>
              </w:rPr>
            </w:pPr>
          </w:p>
        </w:tc>
        <w:tc>
          <w:tcPr>
            <w:tcW w:w="3687" w:type="dxa"/>
            <w:tcBorders>
              <w:top w:val="single" w:sz="8" w:space="0" w:color="C0504D"/>
              <w:left w:val="single" w:sz="8" w:space="0" w:color="C0504D"/>
              <w:bottom w:val="single" w:sz="8" w:space="0" w:color="C0504D"/>
              <w:right w:val="single" w:sz="8" w:space="0" w:color="C0504D"/>
            </w:tcBorders>
          </w:tcPr>
          <w:p w14:paraId="459A4C27" w14:textId="03DF5B26" w:rsidR="00A22FBC" w:rsidRDefault="008C6F34" w:rsidP="00A22FBC">
            <w:pPr>
              <w:spacing w:after="0" w:line="240" w:lineRule="auto"/>
              <w:ind w:left="34"/>
              <w:rPr>
                <w:rFonts w:ascii="Arial" w:eastAsia="Times New Roman" w:hAnsi="Arial" w:cs="Arial"/>
                <w:sz w:val="20"/>
                <w:szCs w:val="20"/>
                <w:lang w:eastAsia="en-GB"/>
              </w:rPr>
            </w:pPr>
            <w:r w:rsidRPr="00C44661">
              <w:rPr>
                <w:rFonts w:ascii="Arial" w:eastAsia="Times New Roman" w:hAnsi="Arial" w:cs="Arial"/>
                <w:sz w:val="20"/>
                <w:szCs w:val="20"/>
                <w:lang w:eastAsia="en-GB"/>
              </w:rPr>
              <w:t>See 3.4.</w:t>
            </w:r>
            <w:r w:rsidR="0090498F">
              <w:rPr>
                <w:rFonts w:ascii="Arial" w:eastAsia="Times New Roman" w:hAnsi="Arial" w:cs="Arial"/>
                <w:sz w:val="20"/>
                <w:szCs w:val="20"/>
                <w:lang w:eastAsia="en-GB"/>
              </w:rPr>
              <w:t>5</w:t>
            </w:r>
          </w:p>
        </w:tc>
      </w:tr>
    </w:tbl>
    <w:p w14:paraId="7C03EEB4" w14:textId="77777777" w:rsidR="00E73695" w:rsidRDefault="00E73695" w:rsidP="00E73695">
      <w:pPr>
        <w:spacing w:after="0" w:line="240" w:lineRule="auto"/>
        <w:rPr>
          <w:rFonts w:ascii="Arial" w:eastAsia="Times New Roman" w:hAnsi="Arial" w:cs="Arial"/>
          <w:sz w:val="24"/>
          <w:szCs w:val="24"/>
          <w:lang w:eastAsia="en-GB"/>
        </w:rPr>
      </w:pPr>
    </w:p>
    <w:p w14:paraId="3DE979A2" w14:textId="77777777" w:rsidR="00E73695" w:rsidRDefault="00E73695" w:rsidP="00E73695">
      <w:pPr>
        <w:spacing w:after="0" w:line="240" w:lineRule="auto"/>
        <w:rPr>
          <w:rFonts w:ascii="Arial" w:eastAsia="Times New Roman" w:hAnsi="Arial" w:cs="Arial"/>
          <w:sz w:val="24"/>
          <w:szCs w:val="24"/>
          <w:lang w:eastAsia="en-GB"/>
        </w:rPr>
      </w:pPr>
    </w:p>
    <w:tbl>
      <w:tblPr>
        <w:tblW w:w="7050"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1950"/>
        <w:gridCol w:w="397"/>
        <w:gridCol w:w="1870"/>
        <w:gridCol w:w="397"/>
        <w:gridCol w:w="1869"/>
        <w:gridCol w:w="567"/>
      </w:tblGrid>
      <w:tr w:rsidR="00E73695" w14:paraId="60CF80B9" w14:textId="77777777" w:rsidTr="00E73695">
        <w:trPr>
          <w:trHeight w:val="261"/>
        </w:trPr>
        <w:tc>
          <w:tcPr>
            <w:tcW w:w="1952" w:type="dxa"/>
            <w:tcBorders>
              <w:top w:val="single" w:sz="8" w:space="0" w:color="C0504D"/>
              <w:left w:val="single" w:sz="8" w:space="0" w:color="C0504D"/>
              <w:bottom w:val="single" w:sz="8" w:space="0" w:color="C0504D"/>
              <w:right w:val="single" w:sz="12" w:space="0" w:color="C0504D"/>
            </w:tcBorders>
            <w:shd w:val="clear" w:color="auto" w:fill="FBE4D5" w:themeFill="accent2" w:themeFillTint="33"/>
            <w:hideMark/>
          </w:tcPr>
          <w:p w14:paraId="40EC1AA3" w14:textId="77777777" w:rsidR="00E73695" w:rsidRDefault="00E73695">
            <w:pPr>
              <w:spacing w:after="0" w:line="240" w:lineRule="auto"/>
              <w:ind w:left="34"/>
              <w:rPr>
                <w:rFonts w:ascii="Arial" w:eastAsia="Times New Roman" w:hAnsi="Arial" w:cs="Arial"/>
                <w:sz w:val="20"/>
                <w:szCs w:val="20"/>
                <w:lang w:eastAsia="en-GB"/>
              </w:rPr>
            </w:pPr>
            <w:r>
              <w:rPr>
                <w:rFonts w:ascii="Arial" w:eastAsia="Times New Roman" w:hAnsi="Arial" w:cs="Arial"/>
                <w:sz w:val="20"/>
                <w:szCs w:val="20"/>
                <w:lang w:eastAsia="en-GB"/>
              </w:rPr>
              <w:t>Conforms</w:t>
            </w:r>
          </w:p>
        </w:tc>
        <w:tc>
          <w:tcPr>
            <w:tcW w:w="397" w:type="dxa"/>
            <w:tcBorders>
              <w:top w:val="single" w:sz="12" w:space="0" w:color="C0504D"/>
              <w:left w:val="single" w:sz="12" w:space="0" w:color="C0504D"/>
              <w:bottom w:val="single" w:sz="12" w:space="0" w:color="C0504D"/>
              <w:right w:val="single" w:sz="12" w:space="0" w:color="C0504D"/>
            </w:tcBorders>
            <w:hideMark/>
          </w:tcPr>
          <w:p w14:paraId="3CC6B070" w14:textId="77777777" w:rsidR="00E73695" w:rsidRDefault="00E73695">
            <w:pPr>
              <w:spacing w:after="0" w:line="240" w:lineRule="auto"/>
              <w:ind w:left="34"/>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1871" w:type="dxa"/>
            <w:tcBorders>
              <w:top w:val="single" w:sz="8" w:space="0" w:color="C0504D"/>
              <w:left w:val="single" w:sz="12" w:space="0" w:color="C0504D"/>
              <w:bottom w:val="single" w:sz="8" w:space="0" w:color="C0504D"/>
              <w:right w:val="single" w:sz="12" w:space="0" w:color="C0504D"/>
            </w:tcBorders>
            <w:shd w:val="clear" w:color="auto" w:fill="FBE4D5" w:themeFill="accent2" w:themeFillTint="33"/>
            <w:hideMark/>
          </w:tcPr>
          <w:p w14:paraId="2D6B8EA2" w14:textId="77777777" w:rsidR="00E73695" w:rsidRDefault="00E73695">
            <w:pPr>
              <w:spacing w:after="0" w:line="240" w:lineRule="auto"/>
              <w:ind w:left="34"/>
              <w:rPr>
                <w:rFonts w:ascii="Arial" w:eastAsia="Times New Roman" w:hAnsi="Arial" w:cs="Arial"/>
                <w:sz w:val="20"/>
                <w:szCs w:val="20"/>
                <w:lang w:eastAsia="en-GB"/>
              </w:rPr>
            </w:pPr>
            <w:r>
              <w:rPr>
                <w:rFonts w:ascii="Arial" w:eastAsia="Times New Roman" w:hAnsi="Arial" w:cs="Arial"/>
                <w:sz w:val="20"/>
                <w:szCs w:val="20"/>
                <w:lang w:eastAsia="en-GB"/>
              </w:rPr>
              <w:t>Partially Conforms</w:t>
            </w:r>
          </w:p>
        </w:tc>
        <w:tc>
          <w:tcPr>
            <w:tcW w:w="397" w:type="dxa"/>
            <w:tcBorders>
              <w:top w:val="single" w:sz="12" w:space="0" w:color="C0504D"/>
              <w:left w:val="single" w:sz="12" w:space="0" w:color="C0504D"/>
              <w:bottom w:val="single" w:sz="12" w:space="0" w:color="C0504D"/>
              <w:right w:val="single" w:sz="12" w:space="0" w:color="C0504D"/>
            </w:tcBorders>
          </w:tcPr>
          <w:p w14:paraId="124B9D71" w14:textId="77777777" w:rsidR="00E73695" w:rsidRDefault="00E73695">
            <w:pPr>
              <w:spacing w:after="0" w:line="240" w:lineRule="auto"/>
              <w:ind w:left="34"/>
              <w:rPr>
                <w:rFonts w:ascii="Arial" w:eastAsia="Times New Roman" w:hAnsi="Arial" w:cs="Arial"/>
                <w:sz w:val="20"/>
                <w:szCs w:val="20"/>
                <w:lang w:eastAsia="en-GB"/>
              </w:rPr>
            </w:pPr>
          </w:p>
        </w:tc>
        <w:tc>
          <w:tcPr>
            <w:tcW w:w="1870" w:type="dxa"/>
            <w:tcBorders>
              <w:top w:val="single" w:sz="12" w:space="0" w:color="C0504D"/>
              <w:left w:val="single" w:sz="12" w:space="0" w:color="C0504D"/>
              <w:bottom w:val="single" w:sz="12" w:space="0" w:color="C0504D"/>
              <w:right w:val="single" w:sz="12" w:space="0" w:color="C0504D"/>
            </w:tcBorders>
            <w:shd w:val="clear" w:color="auto" w:fill="FBE4D5" w:themeFill="accent2" w:themeFillTint="33"/>
            <w:hideMark/>
          </w:tcPr>
          <w:p w14:paraId="79E3C18D" w14:textId="77777777" w:rsidR="00E73695" w:rsidRDefault="00E73695">
            <w:pPr>
              <w:spacing w:after="0" w:line="240" w:lineRule="auto"/>
              <w:ind w:left="34"/>
              <w:rPr>
                <w:rFonts w:ascii="Arial" w:eastAsia="Times New Roman" w:hAnsi="Arial" w:cs="Arial"/>
                <w:sz w:val="20"/>
                <w:szCs w:val="20"/>
                <w:lang w:eastAsia="en-GB"/>
              </w:rPr>
            </w:pPr>
            <w:r>
              <w:rPr>
                <w:rFonts w:ascii="Arial" w:eastAsia="Times New Roman" w:hAnsi="Arial" w:cs="Arial"/>
                <w:sz w:val="20"/>
                <w:szCs w:val="20"/>
                <w:lang w:eastAsia="en-GB"/>
              </w:rPr>
              <w:t>Does Not Conform</w:t>
            </w:r>
          </w:p>
        </w:tc>
        <w:tc>
          <w:tcPr>
            <w:tcW w:w="567" w:type="dxa"/>
            <w:tcBorders>
              <w:top w:val="single" w:sz="12" w:space="0" w:color="C0504D"/>
              <w:left w:val="single" w:sz="12" w:space="0" w:color="C0504D"/>
              <w:bottom w:val="single" w:sz="12" w:space="0" w:color="C0504D"/>
              <w:right w:val="single" w:sz="12" w:space="0" w:color="C0504D"/>
            </w:tcBorders>
          </w:tcPr>
          <w:p w14:paraId="318545B2" w14:textId="77777777" w:rsidR="00E73695" w:rsidRDefault="00E73695">
            <w:pPr>
              <w:spacing w:after="0" w:line="240" w:lineRule="auto"/>
              <w:ind w:left="34"/>
              <w:rPr>
                <w:rFonts w:ascii="Arial" w:eastAsia="Times New Roman" w:hAnsi="Arial" w:cs="Arial"/>
                <w:sz w:val="20"/>
                <w:szCs w:val="20"/>
                <w:lang w:eastAsia="en-GB"/>
              </w:rPr>
            </w:pPr>
          </w:p>
        </w:tc>
      </w:tr>
    </w:tbl>
    <w:p w14:paraId="138A28DA" w14:textId="77777777" w:rsidR="00E73695" w:rsidRDefault="00E73695" w:rsidP="00E73695">
      <w:pPr>
        <w:tabs>
          <w:tab w:val="left" w:pos="720"/>
        </w:tabs>
        <w:spacing w:after="165" w:line="280" w:lineRule="atLeast"/>
        <w:rPr>
          <w:rFonts w:eastAsia="Times New Roman" w:cs="Arial"/>
          <w:sz w:val="20"/>
          <w:szCs w:val="20"/>
          <w:lang w:eastAsia="en-GB"/>
        </w:rPr>
      </w:pPr>
    </w:p>
    <w:p w14:paraId="364DFF66" w14:textId="77777777" w:rsidR="00E73695" w:rsidRDefault="00E73695" w:rsidP="00E73695">
      <w:pPr>
        <w:spacing w:after="0" w:line="240" w:lineRule="auto"/>
        <w:rPr>
          <w:rFonts w:eastAsia="Times New Roman" w:cs="Arial"/>
          <w:sz w:val="24"/>
          <w:szCs w:val="24"/>
          <w:lang w:eastAsia="en-GB"/>
        </w:rPr>
      </w:pPr>
    </w:p>
    <w:p w14:paraId="196425D8" w14:textId="77777777"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320C7FE0" w14:textId="77777777"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249274E4" w14:textId="77777777"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219B115E" w14:textId="77777777"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54F60203" w14:textId="77777777"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3D362FE1" w14:textId="5A6B2D86" w:rsidR="00E73695" w:rsidRDefault="00E73695" w:rsidP="008C6F34">
      <w:pPr>
        <w:spacing w:after="0" w:line="240" w:lineRule="auto"/>
        <w:rPr>
          <w:rFonts w:ascii="Times New Roman" w:eastAsia="Times New Roman" w:hAnsi="Times New Roman" w:cs="Times New Roman"/>
          <w:sz w:val="24"/>
          <w:szCs w:val="24"/>
          <w:lang w:eastAsia="en-GB"/>
        </w:rPr>
        <w:sectPr w:rsidR="00E73695">
          <w:headerReference w:type="default" r:id="rId8"/>
          <w:pgSz w:w="11906" w:h="16838"/>
          <w:pgMar w:top="709" w:right="1440" w:bottom="1440" w:left="1440" w:header="709" w:footer="709" w:gutter="0"/>
          <w:cols w:space="720"/>
        </w:sectPr>
      </w:pPr>
    </w:p>
    <w:p w14:paraId="4CB610A8" w14:textId="23F8B46F" w:rsidR="006655AC" w:rsidRPr="00FA0E18" w:rsidRDefault="00FA0E18" w:rsidP="00FA0E18">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Appendix C</w:t>
      </w:r>
      <w:r w:rsidR="006655AC">
        <w:rPr>
          <w:b/>
        </w:rPr>
        <w:t xml:space="preserve">                     </w:t>
      </w:r>
    </w:p>
    <w:p w14:paraId="62D7AB9E" w14:textId="6FD80148" w:rsidR="00E73695" w:rsidRDefault="007B4DE9" w:rsidP="00E73695">
      <w:pPr>
        <w:tabs>
          <w:tab w:val="left" w:pos="426"/>
        </w:tabs>
        <w:ind w:left="426" w:hanging="426"/>
        <w:rPr>
          <w:rFonts w:ascii="Arial" w:hAnsi="Arial" w:cs="Arial"/>
        </w:rPr>
      </w:pPr>
      <w:r w:rsidRPr="007B4DE9">
        <w:rPr>
          <w:rFonts w:ascii="Arial" w:hAnsi="Arial" w:cs="Arial"/>
          <w:b/>
        </w:rPr>
        <w:t>S</w:t>
      </w:r>
      <w:r w:rsidR="00E0779F">
        <w:rPr>
          <w:rFonts w:ascii="Arial" w:hAnsi="Arial" w:cs="Arial"/>
          <w:b/>
        </w:rPr>
        <w:t>outh</w:t>
      </w:r>
      <w:r w:rsidRPr="007B4DE9">
        <w:rPr>
          <w:rFonts w:ascii="Arial" w:hAnsi="Arial" w:cs="Arial"/>
          <w:b/>
        </w:rPr>
        <w:t xml:space="preserve"> R</w:t>
      </w:r>
      <w:r w:rsidR="00E0779F">
        <w:rPr>
          <w:rFonts w:ascii="Arial" w:hAnsi="Arial" w:cs="Arial"/>
          <w:b/>
        </w:rPr>
        <w:t>ibble</w:t>
      </w:r>
      <w:r w:rsidRPr="007B4DE9">
        <w:rPr>
          <w:rFonts w:ascii="Arial" w:hAnsi="Arial" w:cs="Arial"/>
          <w:b/>
        </w:rPr>
        <w:t xml:space="preserve"> B</w:t>
      </w:r>
      <w:r w:rsidR="00E0779F">
        <w:rPr>
          <w:rFonts w:ascii="Arial" w:hAnsi="Arial" w:cs="Arial"/>
          <w:b/>
        </w:rPr>
        <w:t>orough</w:t>
      </w:r>
      <w:r w:rsidRPr="007B4DE9">
        <w:rPr>
          <w:rFonts w:ascii="Arial" w:hAnsi="Arial" w:cs="Arial"/>
          <w:b/>
        </w:rPr>
        <w:t xml:space="preserve"> C</w:t>
      </w:r>
      <w:r w:rsidR="00E0779F">
        <w:rPr>
          <w:rFonts w:ascii="Arial" w:hAnsi="Arial" w:cs="Arial"/>
          <w:b/>
        </w:rPr>
        <w:t>ouncil</w:t>
      </w:r>
      <w:r w:rsidRPr="007B4DE9">
        <w:rPr>
          <w:rFonts w:ascii="Arial" w:hAnsi="Arial" w:cs="Arial"/>
          <w:b/>
        </w:rPr>
        <w:t xml:space="preserve"> </w:t>
      </w:r>
      <w:r w:rsidR="001C188E">
        <w:rPr>
          <w:rFonts w:ascii="Arial" w:hAnsi="Arial" w:cs="Arial"/>
          <w:b/>
        </w:rPr>
        <w:t>and</w:t>
      </w:r>
      <w:r w:rsidRPr="007B4DE9">
        <w:rPr>
          <w:rFonts w:ascii="Arial" w:hAnsi="Arial" w:cs="Arial"/>
          <w:b/>
        </w:rPr>
        <w:t xml:space="preserve"> C</w:t>
      </w:r>
      <w:r w:rsidR="001C188E">
        <w:rPr>
          <w:rFonts w:ascii="Arial" w:hAnsi="Arial" w:cs="Arial"/>
          <w:b/>
        </w:rPr>
        <w:t>horley</w:t>
      </w:r>
      <w:r w:rsidRPr="007B4DE9">
        <w:rPr>
          <w:rFonts w:ascii="Arial" w:hAnsi="Arial" w:cs="Arial"/>
          <w:b/>
        </w:rPr>
        <w:t xml:space="preserve"> B</w:t>
      </w:r>
      <w:r w:rsidR="001C188E">
        <w:rPr>
          <w:rFonts w:ascii="Arial" w:hAnsi="Arial" w:cs="Arial"/>
          <w:b/>
        </w:rPr>
        <w:t xml:space="preserve">orough </w:t>
      </w:r>
      <w:r w:rsidRPr="007B4DE9">
        <w:rPr>
          <w:rFonts w:ascii="Arial" w:hAnsi="Arial" w:cs="Arial"/>
          <w:b/>
        </w:rPr>
        <w:t>C</w:t>
      </w:r>
      <w:r w:rsidR="001C188E">
        <w:rPr>
          <w:rFonts w:ascii="Arial" w:hAnsi="Arial" w:cs="Arial"/>
          <w:b/>
        </w:rPr>
        <w:t>ouncil</w:t>
      </w:r>
      <w:r w:rsidRPr="007B4DE9">
        <w:rPr>
          <w:rFonts w:ascii="Arial" w:hAnsi="Arial" w:cs="Arial"/>
          <w:b/>
        </w:rPr>
        <w:t xml:space="preserve"> S</w:t>
      </w:r>
      <w:r w:rsidR="001C188E">
        <w:rPr>
          <w:rFonts w:ascii="Arial" w:hAnsi="Arial" w:cs="Arial"/>
          <w:b/>
        </w:rPr>
        <w:t>hared</w:t>
      </w:r>
      <w:r w:rsidRPr="007B4DE9">
        <w:rPr>
          <w:rFonts w:ascii="Arial" w:hAnsi="Arial" w:cs="Arial"/>
          <w:b/>
        </w:rPr>
        <w:t xml:space="preserve"> A</w:t>
      </w:r>
      <w:r w:rsidR="001C188E">
        <w:rPr>
          <w:rFonts w:ascii="Arial" w:hAnsi="Arial" w:cs="Arial"/>
          <w:b/>
        </w:rPr>
        <w:t>ssurance</w:t>
      </w:r>
      <w:r w:rsidRPr="007B4DE9">
        <w:rPr>
          <w:rFonts w:ascii="Arial" w:hAnsi="Arial" w:cs="Arial"/>
          <w:b/>
        </w:rPr>
        <w:t xml:space="preserve"> S</w:t>
      </w:r>
      <w:r w:rsidR="006655AC">
        <w:rPr>
          <w:rFonts w:ascii="Arial" w:hAnsi="Arial" w:cs="Arial"/>
          <w:b/>
        </w:rPr>
        <w:t xml:space="preserve">ervice </w:t>
      </w:r>
      <w:r w:rsidR="00E73695">
        <w:rPr>
          <w:rFonts w:ascii="Arial" w:hAnsi="Arial" w:cs="Arial"/>
          <w:b/>
        </w:rPr>
        <w:t>– PSIAS Action Table</w:t>
      </w:r>
      <w:r w:rsidR="00E73695">
        <w:rPr>
          <w:rFonts w:ascii="Arial" w:hAnsi="Arial" w:cs="Arial"/>
        </w:rPr>
        <w:t xml:space="preserve">                                                                                                         </w:t>
      </w:r>
    </w:p>
    <w:p w14:paraId="06DFC749" w14:textId="77777777" w:rsidR="00E73695" w:rsidRDefault="00E73695" w:rsidP="00E73695">
      <w:pPr>
        <w:tabs>
          <w:tab w:val="left" w:pos="426"/>
        </w:tabs>
        <w:ind w:left="426" w:hanging="426"/>
        <w:rPr>
          <w:rFonts w:ascii="Arial" w:hAnsi="Arial" w:cs="Arial"/>
          <w:b/>
          <w:i/>
          <w:color w:val="FF0000"/>
        </w:rPr>
      </w:pPr>
      <w:r>
        <w:rPr>
          <w:rFonts w:ascii="Arial" w:hAnsi="Arial" w:cs="Arial"/>
        </w:rPr>
        <w:t>The following points for consideration to develop the Audit Function arise from the review undertaken:</w:t>
      </w:r>
    </w:p>
    <w:tbl>
      <w:tblPr>
        <w:tblStyle w:val="MediumGrid3-Accent1"/>
        <w:tblW w:w="14742" w:type="dxa"/>
        <w:tblInd w:w="108" w:type="dxa"/>
        <w:tblLook w:val="04A0" w:firstRow="1" w:lastRow="0" w:firstColumn="1" w:lastColumn="0" w:noHBand="0" w:noVBand="1"/>
      </w:tblPr>
      <w:tblGrid>
        <w:gridCol w:w="1276"/>
        <w:gridCol w:w="1418"/>
        <w:gridCol w:w="6378"/>
        <w:gridCol w:w="2835"/>
        <w:gridCol w:w="2835"/>
      </w:tblGrid>
      <w:tr w:rsidR="00E73695" w14:paraId="145C9CE8" w14:textId="77777777" w:rsidTr="00136C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51ECEACC" w14:textId="77777777" w:rsidR="00E73695" w:rsidRDefault="00E73695">
            <w:pPr>
              <w:spacing w:after="0" w:line="240" w:lineRule="auto"/>
              <w:rPr>
                <w:i/>
                <w:color w:val="FF0000"/>
              </w:rPr>
            </w:pPr>
          </w:p>
          <w:p w14:paraId="08F8858E" w14:textId="77777777" w:rsidR="00E73695" w:rsidRDefault="00E73695">
            <w:pPr>
              <w:spacing w:after="0" w:line="240" w:lineRule="auto"/>
              <w:jc w:val="center"/>
            </w:pPr>
            <w:r>
              <w:t xml:space="preserve">PSIAS Ref </w:t>
            </w:r>
            <w:r>
              <w:rPr>
                <w:sz w:val="16"/>
                <w:szCs w:val="16"/>
                <w:shd w:val="clear" w:color="auto" w:fill="4472C4" w:themeFill="accent1"/>
              </w:rPr>
              <w:t>(Appendix 2)</w:t>
            </w:r>
          </w:p>
          <w:p w14:paraId="41284C36" w14:textId="77777777" w:rsidR="00E73695" w:rsidRDefault="00E73695">
            <w:pPr>
              <w:spacing w:after="0" w:line="240" w:lineRule="auto"/>
              <w:rPr>
                <w:i/>
                <w:color w:val="FF0000"/>
              </w:rPr>
            </w:pPr>
          </w:p>
        </w:tc>
        <w:tc>
          <w:tcPr>
            <w:tcW w:w="1418" w:type="dxa"/>
          </w:tcPr>
          <w:p w14:paraId="4200933A" w14:textId="77777777" w:rsidR="00E73695" w:rsidRDefault="00E73695">
            <w:pPr>
              <w:spacing w:after="0" w:line="240" w:lineRule="auto"/>
              <w:cnfStyle w:val="100000000000" w:firstRow="1" w:lastRow="0" w:firstColumn="0" w:lastColumn="0" w:oddVBand="0" w:evenVBand="0" w:oddHBand="0" w:evenHBand="0" w:firstRowFirstColumn="0" w:firstRowLastColumn="0" w:lastRowFirstColumn="0" w:lastRowLastColumn="0"/>
              <w:rPr>
                <w:i/>
                <w:color w:val="FF0000"/>
              </w:rPr>
            </w:pPr>
          </w:p>
          <w:p w14:paraId="2B1CE938" w14:textId="77777777" w:rsidR="00E73695" w:rsidRDefault="00E73695">
            <w:pPr>
              <w:spacing w:after="0" w:line="240" w:lineRule="auto"/>
              <w:jc w:val="center"/>
              <w:cnfStyle w:val="100000000000" w:firstRow="1" w:lastRow="0" w:firstColumn="0" w:lastColumn="0" w:oddVBand="0" w:evenVBand="0" w:oddHBand="0" w:evenHBand="0" w:firstRowFirstColumn="0" w:firstRowLastColumn="0" w:lastRowFirstColumn="0" w:lastRowLastColumn="0"/>
            </w:pPr>
            <w:r>
              <w:t>Report ref</w:t>
            </w:r>
          </w:p>
        </w:tc>
        <w:tc>
          <w:tcPr>
            <w:tcW w:w="6378" w:type="dxa"/>
          </w:tcPr>
          <w:p w14:paraId="0F2BD852" w14:textId="77777777" w:rsidR="00E73695" w:rsidRDefault="00E73695">
            <w:pPr>
              <w:spacing w:after="0" w:line="240" w:lineRule="auto"/>
              <w:cnfStyle w:val="100000000000" w:firstRow="1" w:lastRow="0" w:firstColumn="0" w:lastColumn="0" w:oddVBand="0" w:evenVBand="0" w:oddHBand="0" w:evenHBand="0" w:firstRowFirstColumn="0" w:firstRowLastColumn="0" w:lastRowFirstColumn="0" w:lastRowLastColumn="0"/>
              <w:rPr>
                <w:color w:val="FF0000"/>
              </w:rPr>
            </w:pPr>
          </w:p>
          <w:p w14:paraId="20168680" w14:textId="77777777" w:rsidR="00E73695" w:rsidRDefault="00E73695">
            <w:pPr>
              <w:spacing w:after="0" w:line="240" w:lineRule="auto"/>
              <w:jc w:val="center"/>
              <w:cnfStyle w:val="100000000000" w:firstRow="1" w:lastRow="0" w:firstColumn="0" w:lastColumn="0" w:oddVBand="0" w:evenVBand="0" w:oddHBand="0" w:evenHBand="0" w:firstRowFirstColumn="0" w:firstRowLastColumn="0" w:lastRowFirstColumn="0" w:lastRowLastColumn="0"/>
            </w:pPr>
            <w:r>
              <w:t>Point For Consideration</w:t>
            </w:r>
          </w:p>
        </w:tc>
        <w:tc>
          <w:tcPr>
            <w:tcW w:w="2835" w:type="dxa"/>
          </w:tcPr>
          <w:p w14:paraId="1B32A5A2" w14:textId="77777777" w:rsidR="00E73695" w:rsidRDefault="00E73695">
            <w:pPr>
              <w:spacing w:after="0" w:line="240" w:lineRule="auto"/>
              <w:cnfStyle w:val="100000000000" w:firstRow="1" w:lastRow="0" w:firstColumn="0" w:lastColumn="0" w:oddVBand="0" w:evenVBand="0" w:oddHBand="0" w:evenHBand="0" w:firstRowFirstColumn="0" w:firstRowLastColumn="0" w:lastRowFirstColumn="0" w:lastRowLastColumn="0"/>
            </w:pPr>
          </w:p>
          <w:p w14:paraId="0108F61F" w14:textId="77777777" w:rsidR="00E73695" w:rsidRDefault="00E73695">
            <w:pPr>
              <w:spacing w:after="0" w:line="240" w:lineRule="auto"/>
              <w:jc w:val="center"/>
              <w:cnfStyle w:val="100000000000" w:firstRow="1" w:lastRow="0" w:firstColumn="0" w:lastColumn="0" w:oddVBand="0" w:evenVBand="0" w:oddHBand="0" w:evenHBand="0" w:firstRowFirstColumn="0" w:firstRowLastColumn="0" w:lastRowFirstColumn="0" w:lastRowLastColumn="0"/>
            </w:pPr>
            <w:r>
              <w:t>Responsible</w:t>
            </w:r>
          </w:p>
        </w:tc>
        <w:tc>
          <w:tcPr>
            <w:tcW w:w="2835" w:type="dxa"/>
          </w:tcPr>
          <w:p w14:paraId="4FD6B490" w14:textId="77777777" w:rsidR="00E73695" w:rsidRDefault="00E73695">
            <w:pPr>
              <w:spacing w:after="0" w:line="240" w:lineRule="auto"/>
              <w:cnfStyle w:val="100000000000" w:firstRow="1" w:lastRow="0" w:firstColumn="0" w:lastColumn="0" w:oddVBand="0" w:evenVBand="0" w:oddHBand="0" w:evenHBand="0" w:firstRowFirstColumn="0" w:firstRowLastColumn="0" w:lastRowFirstColumn="0" w:lastRowLastColumn="0"/>
            </w:pPr>
          </w:p>
          <w:p w14:paraId="7AD9E615" w14:textId="77777777" w:rsidR="00E73695" w:rsidRDefault="00E73695">
            <w:pPr>
              <w:spacing w:after="0" w:line="240" w:lineRule="auto"/>
              <w:jc w:val="center"/>
              <w:cnfStyle w:val="100000000000" w:firstRow="1" w:lastRow="0" w:firstColumn="0" w:lastColumn="0" w:oddVBand="0" w:evenVBand="0" w:oddHBand="0" w:evenHBand="0" w:firstRowFirstColumn="0" w:firstRowLastColumn="0" w:lastRowFirstColumn="0" w:lastRowLastColumn="0"/>
            </w:pPr>
            <w:r>
              <w:t>Action</w:t>
            </w:r>
          </w:p>
        </w:tc>
      </w:tr>
      <w:tr w:rsidR="00E73695" w14:paraId="6AE1C210" w14:textId="77777777" w:rsidTr="0013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FFC2BB3" w14:textId="37419764" w:rsidR="00E73695" w:rsidRDefault="00AE18B7" w:rsidP="0090498F">
            <w:pPr>
              <w:spacing w:before="120" w:after="0" w:line="240" w:lineRule="auto"/>
              <w:jc w:val="center"/>
            </w:pPr>
            <w:r>
              <w:t>1120</w:t>
            </w:r>
          </w:p>
          <w:p w14:paraId="48254D71" w14:textId="77777777" w:rsidR="00E73695" w:rsidRDefault="00E73695" w:rsidP="0090498F">
            <w:pPr>
              <w:spacing w:before="120" w:after="0" w:line="240" w:lineRule="auto"/>
              <w:jc w:val="center"/>
              <w:rPr>
                <w:i/>
                <w:color w:val="FF0000"/>
              </w:rPr>
            </w:pPr>
          </w:p>
        </w:tc>
        <w:tc>
          <w:tcPr>
            <w:tcW w:w="1418" w:type="dxa"/>
          </w:tcPr>
          <w:p w14:paraId="5A18B29A" w14:textId="03858589" w:rsidR="00E73695" w:rsidRDefault="00617F6F" w:rsidP="0090498F">
            <w:pPr>
              <w:spacing w:before="120" w:after="0" w:line="240" w:lineRule="auto"/>
              <w:jc w:val="center"/>
              <w:cnfStyle w:val="000000100000" w:firstRow="0" w:lastRow="0" w:firstColumn="0" w:lastColumn="0" w:oddVBand="0" w:evenVBand="0" w:oddHBand="1" w:evenHBand="0" w:firstRowFirstColumn="0" w:firstRowLastColumn="0" w:lastRowFirstColumn="0" w:lastRowLastColumn="0"/>
            </w:pPr>
            <w:r>
              <w:t>3.4.1</w:t>
            </w:r>
          </w:p>
        </w:tc>
        <w:tc>
          <w:tcPr>
            <w:tcW w:w="6378" w:type="dxa"/>
          </w:tcPr>
          <w:p w14:paraId="0088B3E3" w14:textId="3917EE44" w:rsidR="00E73695" w:rsidRDefault="007D0C3F" w:rsidP="0090498F">
            <w:pPr>
              <w:spacing w:before="120" w:after="120" w:line="240" w:lineRule="auto"/>
              <w:cnfStyle w:val="000000100000" w:firstRow="0" w:lastRow="0" w:firstColumn="0" w:lastColumn="0" w:oddVBand="0" w:evenVBand="0" w:oddHBand="1" w:evenHBand="0" w:firstRowFirstColumn="0" w:firstRowLastColumn="0" w:lastRowFirstColumn="0" w:lastRowLastColumn="0"/>
            </w:pPr>
            <w:r>
              <w:rPr>
                <w:szCs w:val="24"/>
              </w:rPr>
              <w:t xml:space="preserve">There is a regular sign up of staff to the compliance with </w:t>
            </w:r>
            <w:r w:rsidR="00AE18B7">
              <w:rPr>
                <w:szCs w:val="24"/>
              </w:rPr>
              <w:t>conflict-of-interest</w:t>
            </w:r>
            <w:r>
              <w:rPr>
                <w:szCs w:val="24"/>
              </w:rPr>
              <w:t xml:space="preserve"> requirements but this could be widened to include ethics and standards covered by the PSIAS</w:t>
            </w:r>
          </w:p>
        </w:tc>
        <w:tc>
          <w:tcPr>
            <w:tcW w:w="2835" w:type="dxa"/>
          </w:tcPr>
          <w:p w14:paraId="1769BB32" w14:textId="6E1F1983" w:rsidR="00E73695" w:rsidRPr="00D8280A" w:rsidRDefault="00D8280A" w:rsidP="0090498F">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D8280A">
              <w:rPr>
                <w:color w:val="000000" w:themeColor="text1"/>
              </w:rPr>
              <w:t>Head of Audit and Risk</w:t>
            </w:r>
          </w:p>
        </w:tc>
        <w:tc>
          <w:tcPr>
            <w:tcW w:w="2835" w:type="dxa"/>
          </w:tcPr>
          <w:p w14:paraId="03E53162" w14:textId="77777777" w:rsidR="00E73695" w:rsidRPr="00D8280A" w:rsidRDefault="00D8280A" w:rsidP="0090498F">
            <w:pPr>
              <w:spacing w:before="120" w:after="0" w:line="240" w:lineRule="auto"/>
              <w:cnfStyle w:val="000000100000" w:firstRow="0" w:lastRow="0" w:firstColumn="0" w:lastColumn="0" w:oddVBand="0" w:evenVBand="0" w:oddHBand="1" w:evenHBand="0" w:firstRowFirstColumn="0" w:firstRowLastColumn="0" w:lastRowFirstColumn="0" w:lastRowLastColumn="0"/>
              <w:rPr>
                <w:iCs/>
                <w:color w:val="000000" w:themeColor="text1"/>
              </w:rPr>
            </w:pPr>
            <w:r w:rsidRPr="00D8280A">
              <w:rPr>
                <w:iCs/>
                <w:color w:val="000000" w:themeColor="text1"/>
              </w:rPr>
              <w:t>Conflict of interest will be strengthened to include ethics and standards.</w:t>
            </w:r>
          </w:p>
          <w:p w14:paraId="4E3F3BB1" w14:textId="5D6196DB" w:rsidR="00D8280A" w:rsidRPr="00D8280A" w:rsidRDefault="00D8280A" w:rsidP="0090498F">
            <w:pPr>
              <w:spacing w:before="120" w:after="0" w:line="240" w:lineRule="auto"/>
              <w:cnfStyle w:val="000000100000" w:firstRow="0" w:lastRow="0" w:firstColumn="0" w:lastColumn="0" w:oddVBand="0" w:evenVBand="0" w:oddHBand="1" w:evenHBand="0" w:firstRowFirstColumn="0" w:firstRowLastColumn="0" w:lastRowFirstColumn="0" w:lastRowLastColumn="0"/>
              <w:rPr>
                <w:iCs/>
                <w:color w:val="000000" w:themeColor="text1"/>
              </w:rPr>
            </w:pPr>
          </w:p>
        </w:tc>
      </w:tr>
      <w:tr w:rsidR="00235118" w14:paraId="2114CE15" w14:textId="77777777" w:rsidTr="00FB2A70">
        <w:tc>
          <w:tcPr>
            <w:cnfStyle w:val="001000000000" w:firstRow="0" w:lastRow="0" w:firstColumn="1" w:lastColumn="0" w:oddVBand="0" w:evenVBand="0" w:oddHBand="0" w:evenHBand="0" w:firstRowFirstColumn="0" w:firstRowLastColumn="0" w:lastRowFirstColumn="0" w:lastRowLastColumn="0"/>
            <w:tcW w:w="1276" w:type="dxa"/>
          </w:tcPr>
          <w:p w14:paraId="1BB6006E" w14:textId="624BD39E" w:rsidR="00235118" w:rsidRDefault="00235118" w:rsidP="0090498F">
            <w:pPr>
              <w:spacing w:before="120" w:after="0" w:line="240" w:lineRule="auto"/>
              <w:jc w:val="center"/>
            </w:pPr>
            <w:r>
              <w:t>1310</w:t>
            </w:r>
          </w:p>
          <w:p w14:paraId="303B33EF" w14:textId="77777777" w:rsidR="00235118" w:rsidRDefault="00235118" w:rsidP="0090498F">
            <w:pPr>
              <w:spacing w:before="120" w:after="0" w:line="240" w:lineRule="auto"/>
              <w:jc w:val="center"/>
              <w:rPr>
                <w:i/>
                <w:color w:val="FF0000"/>
              </w:rPr>
            </w:pPr>
          </w:p>
        </w:tc>
        <w:tc>
          <w:tcPr>
            <w:tcW w:w="1418" w:type="dxa"/>
          </w:tcPr>
          <w:p w14:paraId="6A442599" w14:textId="484C8EB5" w:rsidR="00235118" w:rsidRDefault="00235118" w:rsidP="0090498F">
            <w:pPr>
              <w:spacing w:before="120" w:after="0" w:line="240" w:lineRule="auto"/>
              <w:jc w:val="center"/>
              <w:cnfStyle w:val="000000000000" w:firstRow="0" w:lastRow="0" w:firstColumn="0" w:lastColumn="0" w:oddVBand="0" w:evenVBand="0" w:oddHBand="0" w:evenHBand="0" w:firstRowFirstColumn="0" w:firstRowLastColumn="0" w:lastRowFirstColumn="0" w:lastRowLastColumn="0"/>
            </w:pPr>
            <w:r>
              <w:t>3.4.</w:t>
            </w:r>
            <w:r w:rsidR="00F54AAA">
              <w:t>2</w:t>
            </w:r>
          </w:p>
        </w:tc>
        <w:tc>
          <w:tcPr>
            <w:tcW w:w="6378" w:type="dxa"/>
          </w:tcPr>
          <w:p w14:paraId="53634D40" w14:textId="78D41BE7" w:rsidR="00235118" w:rsidRDefault="00235118" w:rsidP="0090498F">
            <w:pPr>
              <w:spacing w:before="120" w:after="120" w:line="240" w:lineRule="auto"/>
              <w:cnfStyle w:val="000000000000" w:firstRow="0" w:lastRow="0" w:firstColumn="0" w:lastColumn="0" w:oddVBand="0" w:evenVBand="0" w:oddHBand="0" w:evenHBand="0" w:firstRowFirstColumn="0" w:firstRowLastColumn="0" w:lastRowFirstColumn="0" w:lastRowLastColumn="0"/>
            </w:pPr>
            <w:r w:rsidRPr="006B5F39">
              <w:t>There was evidence of review of working papers for engagements, however this was in the form of emails. This could be incorporated formally recorded into the Audit Engagement – Quality Control Checklist</w:t>
            </w:r>
          </w:p>
        </w:tc>
        <w:tc>
          <w:tcPr>
            <w:tcW w:w="5670" w:type="dxa"/>
            <w:gridSpan w:val="2"/>
          </w:tcPr>
          <w:p w14:paraId="63CE922C" w14:textId="5AD7D5F4" w:rsidR="00235118" w:rsidRPr="005C3AC1" w:rsidRDefault="00235118" w:rsidP="00803ECF">
            <w:pPr>
              <w:spacing w:before="120" w:line="240" w:lineRule="auto"/>
              <w:cnfStyle w:val="000000000000" w:firstRow="0" w:lastRow="0" w:firstColumn="0" w:lastColumn="0" w:oddVBand="0" w:evenVBand="0" w:oddHBand="0" w:evenHBand="0" w:firstRowFirstColumn="0" w:firstRowLastColumn="0" w:lastRowFirstColumn="0" w:lastRowLastColumn="0"/>
            </w:pPr>
            <w:r w:rsidRPr="005C3AC1">
              <w:rPr>
                <w:iCs/>
              </w:rPr>
              <w:t xml:space="preserve">Whilst this action is acknowledged, it is </w:t>
            </w:r>
            <w:r w:rsidR="00803ECF">
              <w:rPr>
                <w:iCs/>
              </w:rPr>
              <w:t xml:space="preserve">not accepted. </w:t>
            </w:r>
            <w:r w:rsidRPr="005C3AC1">
              <w:rPr>
                <w:iCs/>
              </w:rPr>
              <w:t xml:space="preserve">  T</w:t>
            </w:r>
            <w:r w:rsidRPr="005C3AC1">
              <w:t xml:space="preserve">he beginning of each year has a standing item on the </w:t>
            </w:r>
            <w:r w:rsidR="00EF7EED" w:rsidRPr="005C3AC1">
              <w:t xml:space="preserve">IA team meeting agenda </w:t>
            </w:r>
            <w:r w:rsidRPr="005C3AC1">
              <w:t>regarding IA procedures and</w:t>
            </w:r>
            <w:r w:rsidR="00803ECF">
              <w:t xml:space="preserve"> this is used </w:t>
            </w:r>
            <w:r w:rsidRPr="005C3AC1">
              <w:t xml:space="preserve">to identify ways to work more efficiently and streamline our operations. </w:t>
            </w:r>
          </w:p>
          <w:p w14:paraId="3324D0AF" w14:textId="554F8486" w:rsidR="00235118" w:rsidRPr="005C3AC1" w:rsidRDefault="00EF7EED" w:rsidP="0090498F">
            <w:pPr>
              <w:spacing w:before="120" w:after="0" w:line="240" w:lineRule="auto"/>
              <w:cnfStyle w:val="000000000000" w:firstRow="0" w:lastRow="0" w:firstColumn="0" w:lastColumn="0" w:oddVBand="0" w:evenVBand="0" w:oddHBand="0" w:evenHBand="0" w:firstRowFirstColumn="0" w:firstRowLastColumn="0" w:lastRowFirstColumn="0" w:lastRowLastColumn="0"/>
              <w:rPr>
                <w:iCs/>
              </w:rPr>
            </w:pPr>
            <w:r w:rsidRPr="005C3AC1">
              <w:rPr>
                <w:iCs/>
              </w:rPr>
              <w:t>As we are only a small team</w:t>
            </w:r>
            <w:r w:rsidR="00CD24CF" w:rsidRPr="005C3AC1">
              <w:rPr>
                <w:iCs/>
              </w:rPr>
              <w:t xml:space="preserve"> providing a comprehensive audit service to 2 separate authorities and 2 wholly owned companies</w:t>
            </w:r>
            <w:r w:rsidRPr="005C3AC1">
              <w:rPr>
                <w:iCs/>
              </w:rPr>
              <w:t xml:space="preserve">, we have tried to actively reduce any surplus documentation that </w:t>
            </w:r>
            <w:r w:rsidR="00A85E47" w:rsidRPr="005C3AC1">
              <w:rPr>
                <w:iCs/>
              </w:rPr>
              <w:t>does not add any additional value / evidence.</w:t>
            </w:r>
          </w:p>
          <w:p w14:paraId="046E9347" w14:textId="25A12C14" w:rsidR="00A85E47" w:rsidRPr="00235118" w:rsidRDefault="00A85E47" w:rsidP="0090498F">
            <w:pPr>
              <w:spacing w:before="120" w:after="0" w:line="240" w:lineRule="auto"/>
              <w:cnfStyle w:val="000000000000" w:firstRow="0" w:lastRow="0" w:firstColumn="0" w:lastColumn="0" w:oddVBand="0" w:evenVBand="0" w:oddHBand="0" w:evenHBand="0" w:firstRowFirstColumn="0" w:firstRowLastColumn="0" w:lastRowFirstColumn="0" w:lastRowLastColumn="0"/>
              <w:rPr>
                <w:iCs/>
                <w:color w:val="FF0000"/>
              </w:rPr>
            </w:pPr>
          </w:p>
        </w:tc>
      </w:tr>
      <w:tr w:rsidR="00E73695" w14:paraId="3BA1973C" w14:textId="77777777" w:rsidTr="009049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6" w:type="dxa"/>
          </w:tcPr>
          <w:p w14:paraId="58C7AD91" w14:textId="340E7678" w:rsidR="00E73695" w:rsidRDefault="00BC2DC0" w:rsidP="0090498F">
            <w:pPr>
              <w:spacing w:before="120" w:after="0" w:line="240" w:lineRule="auto"/>
              <w:jc w:val="center"/>
            </w:pPr>
            <w:r>
              <w:lastRenderedPageBreak/>
              <w:t>1000</w:t>
            </w:r>
          </w:p>
          <w:p w14:paraId="7F5A6B6A" w14:textId="77777777" w:rsidR="00E73695" w:rsidRDefault="00E73695" w:rsidP="0090498F">
            <w:pPr>
              <w:spacing w:before="120" w:after="0" w:line="240" w:lineRule="auto"/>
              <w:jc w:val="center"/>
              <w:rPr>
                <w:i/>
                <w:color w:val="FF0000"/>
              </w:rPr>
            </w:pPr>
          </w:p>
        </w:tc>
        <w:tc>
          <w:tcPr>
            <w:tcW w:w="1418" w:type="dxa"/>
          </w:tcPr>
          <w:p w14:paraId="4AD7B63F" w14:textId="070053A1" w:rsidR="00E73695" w:rsidRDefault="00617F6F" w:rsidP="0090498F">
            <w:pPr>
              <w:spacing w:before="120" w:after="0" w:line="240" w:lineRule="auto"/>
              <w:jc w:val="center"/>
              <w:cnfStyle w:val="000000100000" w:firstRow="0" w:lastRow="0" w:firstColumn="0" w:lastColumn="0" w:oddVBand="0" w:evenVBand="0" w:oddHBand="1" w:evenHBand="0" w:firstRowFirstColumn="0" w:firstRowLastColumn="0" w:lastRowFirstColumn="0" w:lastRowLastColumn="0"/>
            </w:pPr>
            <w:r>
              <w:t>3.4.</w:t>
            </w:r>
            <w:r w:rsidR="00735413">
              <w:t>3</w:t>
            </w:r>
          </w:p>
        </w:tc>
        <w:tc>
          <w:tcPr>
            <w:tcW w:w="6378" w:type="dxa"/>
          </w:tcPr>
          <w:p w14:paraId="507768BA" w14:textId="7EA9C161" w:rsidR="00E73695" w:rsidRDefault="00BC2DC0" w:rsidP="0090498F">
            <w:pPr>
              <w:spacing w:before="120" w:after="120" w:line="240" w:lineRule="auto"/>
              <w:cnfStyle w:val="000000100000" w:firstRow="0" w:lastRow="0" w:firstColumn="0" w:lastColumn="0" w:oddVBand="0" w:evenVBand="0" w:oddHBand="1" w:evenHBand="0" w:firstRowFirstColumn="0" w:firstRowLastColumn="0" w:lastRowFirstColumn="0" w:lastRowLastColumn="0"/>
            </w:pPr>
            <w:r w:rsidRPr="00BC2DC0">
              <w:t>Some of the documentation provided (specifically the charters) need to be updated to match the Job titles.</w:t>
            </w:r>
          </w:p>
        </w:tc>
        <w:tc>
          <w:tcPr>
            <w:tcW w:w="2835" w:type="dxa"/>
          </w:tcPr>
          <w:p w14:paraId="0FF9793F" w14:textId="3D79FFB5" w:rsidR="00E73695" w:rsidRPr="00CD24CF" w:rsidRDefault="00B52770" w:rsidP="0090498F">
            <w:pPr>
              <w:spacing w:before="120" w:after="0" w:line="240" w:lineRule="auto"/>
              <w:cnfStyle w:val="000000100000" w:firstRow="0" w:lastRow="0" w:firstColumn="0" w:lastColumn="0" w:oddVBand="0" w:evenVBand="0" w:oddHBand="1" w:evenHBand="0" w:firstRowFirstColumn="0" w:firstRowLastColumn="0" w:lastRowFirstColumn="0" w:lastRowLastColumn="0"/>
            </w:pPr>
            <w:r w:rsidRPr="00CD24CF">
              <w:t>Head of Audit and Risk</w:t>
            </w:r>
          </w:p>
        </w:tc>
        <w:tc>
          <w:tcPr>
            <w:tcW w:w="2835" w:type="dxa"/>
          </w:tcPr>
          <w:p w14:paraId="5FD9D959" w14:textId="77777777" w:rsidR="00E73695" w:rsidRPr="00CD24CF" w:rsidRDefault="00B52770" w:rsidP="0090498F">
            <w:pPr>
              <w:spacing w:before="120" w:after="0" w:line="240" w:lineRule="auto"/>
              <w:cnfStyle w:val="000000100000" w:firstRow="0" w:lastRow="0" w:firstColumn="0" w:lastColumn="0" w:oddVBand="0" w:evenVBand="0" w:oddHBand="1" w:evenHBand="0" w:firstRowFirstColumn="0" w:firstRowLastColumn="0" w:lastRowFirstColumn="0" w:lastRowLastColumn="0"/>
              <w:rPr>
                <w:iCs/>
              </w:rPr>
            </w:pPr>
            <w:r w:rsidRPr="00CD24CF">
              <w:rPr>
                <w:iCs/>
              </w:rPr>
              <w:t>All I A documentation will be reviewed to ensure all job titles are updated.</w:t>
            </w:r>
          </w:p>
          <w:p w14:paraId="70AD18E9" w14:textId="76C0DC8C" w:rsidR="00B52770" w:rsidRPr="00CD24CF" w:rsidRDefault="00B52770" w:rsidP="0090498F">
            <w:pPr>
              <w:spacing w:before="120" w:after="0" w:line="240" w:lineRule="auto"/>
              <w:cnfStyle w:val="000000100000" w:firstRow="0" w:lastRow="0" w:firstColumn="0" w:lastColumn="0" w:oddVBand="0" w:evenVBand="0" w:oddHBand="1" w:evenHBand="0" w:firstRowFirstColumn="0" w:firstRowLastColumn="0" w:lastRowFirstColumn="0" w:lastRowLastColumn="0"/>
              <w:rPr>
                <w:iCs/>
              </w:rPr>
            </w:pPr>
          </w:p>
        </w:tc>
      </w:tr>
      <w:tr w:rsidR="00E73695" w14:paraId="5DC21D54" w14:textId="77777777" w:rsidTr="00136CDA">
        <w:tc>
          <w:tcPr>
            <w:cnfStyle w:val="001000000000" w:firstRow="0" w:lastRow="0" w:firstColumn="1" w:lastColumn="0" w:oddVBand="0" w:evenVBand="0" w:oddHBand="0" w:evenHBand="0" w:firstRowFirstColumn="0" w:firstRowLastColumn="0" w:lastRowFirstColumn="0" w:lastRowLastColumn="0"/>
            <w:tcW w:w="1276" w:type="dxa"/>
            <w:tcBorders>
              <w:bottom w:val="single" w:sz="8" w:space="0" w:color="FFFFFF" w:themeColor="background1"/>
            </w:tcBorders>
          </w:tcPr>
          <w:p w14:paraId="4133A48D" w14:textId="015DA440" w:rsidR="00E73695" w:rsidRDefault="00BC2DC0" w:rsidP="0090498F">
            <w:pPr>
              <w:spacing w:before="120" w:after="0" w:line="240" w:lineRule="auto"/>
              <w:jc w:val="center"/>
            </w:pPr>
            <w:r>
              <w:t>2120</w:t>
            </w:r>
          </w:p>
          <w:p w14:paraId="753C8132" w14:textId="77777777" w:rsidR="00E73695" w:rsidRDefault="00E73695" w:rsidP="0090498F">
            <w:pPr>
              <w:spacing w:before="120" w:after="0" w:line="240" w:lineRule="auto"/>
              <w:jc w:val="center"/>
              <w:rPr>
                <w:i/>
                <w:color w:val="FF0000"/>
              </w:rPr>
            </w:pPr>
          </w:p>
        </w:tc>
        <w:tc>
          <w:tcPr>
            <w:tcW w:w="141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2D356269" w14:textId="1A413253" w:rsidR="00E73695" w:rsidRDefault="00862927" w:rsidP="0090498F">
            <w:pPr>
              <w:spacing w:before="120" w:after="0" w:line="240" w:lineRule="auto"/>
              <w:jc w:val="center"/>
              <w:cnfStyle w:val="000000000000" w:firstRow="0" w:lastRow="0" w:firstColumn="0" w:lastColumn="0" w:oddVBand="0" w:evenVBand="0" w:oddHBand="0" w:evenHBand="0" w:firstRowFirstColumn="0" w:firstRowLastColumn="0" w:lastRowFirstColumn="0" w:lastRowLastColumn="0"/>
            </w:pPr>
            <w:r>
              <w:t>3.4.</w:t>
            </w:r>
            <w:r w:rsidR="00735413">
              <w:t>4</w:t>
            </w:r>
          </w:p>
        </w:tc>
        <w:tc>
          <w:tcPr>
            <w:tcW w:w="637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740D2ABC" w14:textId="33EAC7A6" w:rsidR="00E73695" w:rsidRDefault="00553946" w:rsidP="00A37EE5">
            <w:pPr>
              <w:spacing w:before="120" w:after="120" w:line="240" w:lineRule="auto"/>
              <w:cnfStyle w:val="000000000000" w:firstRow="0" w:lastRow="0" w:firstColumn="0" w:lastColumn="0" w:oddVBand="0" w:evenVBand="0" w:oddHBand="0" w:evenHBand="0" w:firstRowFirstColumn="0" w:firstRowLastColumn="0" w:lastRowFirstColumn="0" w:lastRowLastColumn="0"/>
            </w:pPr>
            <w:r w:rsidRPr="005C3AC1">
              <w:t>The Council’s own internal review had identified that they had not assessed how they compare themselves against CIPFA’s Code of Practice on Managing the Risk of Fraud and Corruption (2120). This has therefore been included in the 2022/3 Annual Governance Statement.</w:t>
            </w:r>
          </w:p>
        </w:tc>
        <w:tc>
          <w:tcPr>
            <w:tcW w:w="283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382D7146" w14:textId="77FC0D36" w:rsidR="00E73695" w:rsidRDefault="00B52770" w:rsidP="0090498F">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52770">
              <w:t xml:space="preserve">Head of Audit and Risk </w:t>
            </w:r>
          </w:p>
        </w:tc>
        <w:tc>
          <w:tcPr>
            <w:tcW w:w="283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tcPr>
          <w:p w14:paraId="425F5163" w14:textId="30C6AC99" w:rsidR="00E73695" w:rsidRPr="00B52770" w:rsidRDefault="00B52770" w:rsidP="0090498F">
            <w:pPr>
              <w:spacing w:before="120" w:after="0" w:line="240" w:lineRule="auto"/>
              <w:cnfStyle w:val="000000000000" w:firstRow="0" w:lastRow="0" w:firstColumn="0" w:lastColumn="0" w:oddVBand="0" w:evenVBand="0" w:oddHBand="0" w:evenHBand="0" w:firstRowFirstColumn="0" w:firstRowLastColumn="0" w:lastRowFirstColumn="0" w:lastRowLastColumn="0"/>
              <w:rPr>
                <w:iCs/>
                <w:color w:val="FF0000"/>
              </w:rPr>
            </w:pPr>
            <w:r w:rsidRPr="00B52770">
              <w:rPr>
                <w:iCs/>
              </w:rPr>
              <w:t>As per AGS action plan</w:t>
            </w:r>
          </w:p>
        </w:tc>
      </w:tr>
      <w:tr w:rsidR="00136CDA" w14:paraId="4F1C0F3F" w14:textId="77777777" w:rsidTr="00136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25B4F53" w14:textId="6A8E0046" w:rsidR="00136CDA" w:rsidRDefault="00887065" w:rsidP="0090498F">
            <w:pPr>
              <w:spacing w:before="120" w:after="0" w:line="240" w:lineRule="auto"/>
              <w:jc w:val="center"/>
            </w:pPr>
            <w:r>
              <w:t>2450</w:t>
            </w:r>
          </w:p>
          <w:p w14:paraId="03FED2E3" w14:textId="77777777" w:rsidR="00136CDA" w:rsidRDefault="00136CDA" w:rsidP="0090498F">
            <w:pPr>
              <w:spacing w:before="120" w:after="0" w:line="240" w:lineRule="auto"/>
              <w:jc w:val="center"/>
              <w:rPr>
                <w:i/>
                <w:color w:val="FF0000"/>
              </w:rPr>
            </w:pPr>
          </w:p>
        </w:tc>
        <w:tc>
          <w:tcPr>
            <w:tcW w:w="1418" w:type="dxa"/>
          </w:tcPr>
          <w:p w14:paraId="61ECF6A1" w14:textId="3E532B7A" w:rsidR="00136CDA" w:rsidRDefault="00136CDA" w:rsidP="0090498F">
            <w:pPr>
              <w:spacing w:before="120" w:after="0" w:line="240" w:lineRule="auto"/>
              <w:jc w:val="center"/>
              <w:cnfStyle w:val="000000100000" w:firstRow="0" w:lastRow="0" w:firstColumn="0" w:lastColumn="0" w:oddVBand="0" w:evenVBand="0" w:oddHBand="1" w:evenHBand="0" w:firstRowFirstColumn="0" w:firstRowLastColumn="0" w:lastRowFirstColumn="0" w:lastRowLastColumn="0"/>
            </w:pPr>
            <w:r>
              <w:t>3.4.</w:t>
            </w:r>
            <w:r w:rsidR="00735413">
              <w:t>5</w:t>
            </w:r>
          </w:p>
        </w:tc>
        <w:tc>
          <w:tcPr>
            <w:tcW w:w="6378" w:type="dxa"/>
          </w:tcPr>
          <w:p w14:paraId="5ABE56BE" w14:textId="16EA6844" w:rsidR="00136CDA" w:rsidRPr="00C44661" w:rsidRDefault="002926C8" w:rsidP="0090498F">
            <w:pPr>
              <w:spacing w:before="120" w:after="120" w:line="240" w:lineRule="auto"/>
              <w:cnfStyle w:val="000000100000" w:firstRow="0" w:lastRow="0" w:firstColumn="0" w:lastColumn="0" w:oddVBand="0" w:evenVBand="0" w:oddHBand="1" w:evenHBand="0" w:firstRowFirstColumn="0" w:firstRowLastColumn="0" w:lastRowFirstColumn="0" w:lastRowLastColumn="0"/>
            </w:pPr>
            <w:r w:rsidRPr="00C44661">
              <w:t xml:space="preserve">The </w:t>
            </w:r>
            <w:r w:rsidR="008C0492" w:rsidRPr="00C44661">
              <w:t xml:space="preserve">Internal Audit Annual Opinion Report should include commentary on any </w:t>
            </w:r>
            <w:r w:rsidR="00D30E53" w:rsidRPr="00C44661">
              <w:t xml:space="preserve">impairments or restrictions in scope or resources placed on it during the year and any other </w:t>
            </w:r>
            <w:r w:rsidR="005C56F7" w:rsidRPr="00C44661">
              <w:t>issues that</w:t>
            </w:r>
            <w:r w:rsidR="00D30E53" w:rsidRPr="00C44661">
              <w:t xml:space="preserve"> the CAE judges are </w:t>
            </w:r>
            <w:r w:rsidR="005C56F7" w:rsidRPr="00C44661">
              <w:t>relevant to</w:t>
            </w:r>
            <w:r w:rsidR="00CD536B" w:rsidRPr="00C44661">
              <w:t xml:space="preserve"> the </w:t>
            </w:r>
            <w:r w:rsidR="005C56F7" w:rsidRPr="00C44661">
              <w:t>preparation</w:t>
            </w:r>
            <w:r w:rsidR="00CD536B" w:rsidRPr="00C44661">
              <w:t xml:space="preserve"> of the </w:t>
            </w:r>
            <w:r w:rsidR="005C56F7" w:rsidRPr="00C44661">
              <w:t>governance</w:t>
            </w:r>
            <w:r w:rsidR="00CD536B" w:rsidRPr="00C44661">
              <w:t xml:space="preserve"> </w:t>
            </w:r>
            <w:r w:rsidR="005C56F7" w:rsidRPr="00C44661">
              <w:t>statement</w:t>
            </w:r>
            <w:r w:rsidR="00CD536B" w:rsidRPr="00C44661">
              <w:t xml:space="preserve">. Where no issues are </w:t>
            </w:r>
            <w:r w:rsidR="005C56F7" w:rsidRPr="00C44661">
              <w:t>noted,</w:t>
            </w:r>
            <w:r w:rsidR="00CD536B" w:rsidRPr="00C44661">
              <w:t xml:space="preserve"> consider including a statement to this effect. </w:t>
            </w:r>
            <w:r w:rsidR="00D30E53" w:rsidRPr="00C44661">
              <w:t xml:space="preserve"> </w:t>
            </w:r>
          </w:p>
        </w:tc>
        <w:tc>
          <w:tcPr>
            <w:tcW w:w="2835" w:type="dxa"/>
          </w:tcPr>
          <w:p w14:paraId="5312A6E4" w14:textId="089A7227" w:rsidR="00136CDA" w:rsidRDefault="00CD24CF" w:rsidP="0090498F">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CD24CF">
              <w:t>Head of Audit and Risk</w:t>
            </w:r>
          </w:p>
        </w:tc>
        <w:tc>
          <w:tcPr>
            <w:tcW w:w="2835" w:type="dxa"/>
          </w:tcPr>
          <w:p w14:paraId="0D9959F0" w14:textId="2B5016B2" w:rsidR="00136CDA" w:rsidRPr="00CD24CF" w:rsidRDefault="00CD24CF" w:rsidP="0090498F">
            <w:pPr>
              <w:spacing w:before="120" w:after="0" w:line="240" w:lineRule="auto"/>
              <w:cnfStyle w:val="000000100000" w:firstRow="0" w:lastRow="0" w:firstColumn="0" w:lastColumn="0" w:oddVBand="0" w:evenVBand="0" w:oddHBand="1" w:evenHBand="0" w:firstRowFirstColumn="0" w:firstRowLastColumn="0" w:lastRowFirstColumn="0" w:lastRowLastColumn="0"/>
              <w:rPr>
                <w:iCs/>
                <w:color w:val="FF0000"/>
              </w:rPr>
            </w:pPr>
            <w:r w:rsidRPr="00CD24CF">
              <w:rPr>
                <w:iCs/>
              </w:rPr>
              <w:t>Additional wording to be added to the annual report.</w:t>
            </w:r>
          </w:p>
        </w:tc>
      </w:tr>
    </w:tbl>
    <w:p w14:paraId="7AEBFB99" w14:textId="77777777"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4A2025DA" w14:textId="77777777" w:rsidR="00E73695" w:rsidRDefault="00E73695" w:rsidP="00E73695">
      <w:pPr>
        <w:spacing w:after="0" w:line="240" w:lineRule="auto"/>
        <w:jc w:val="center"/>
        <w:rPr>
          <w:rFonts w:ascii="Times New Roman" w:eastAsia="Times New Roman" w:hAnsi="Times New Roman" w:cs="Times New Roman"/>
          <w:sz w:val="24"/>
          <w:szCs w:val="24"/>
          <w:lang w:eastAsia="en-GB"/>
        </w:rPr>
      </w:pPr>
    </w:p>
    <w:p w14:paraId="4A2B9E78" w14:textId="77777777" w:rsidR="008235D2" w:rsidRDefault="008235D2"/>
    <w:sectPr w:rsidR="008235D2" w:rsidSect="00BC42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6FCAA" w14:textId="77777777" w:rsidR="00A70665" w:rsidRDefault="00A70665" w:rsidP="001D0F67">
      <w:pPr>
        <w:spacing w:after="0" w:line="240" w:lineRule="auto"/>
      </w:pPr>
      <w:r>
        <w:separator/>
      </w:r>
    </w:p>
  </w:endnote>
  <w:endnote w:type="continuationSeparator" w:id="0">
    <w:p w14:paraId="6AD0D1C5" w14:textId="77777777" w:rsidR="00A70665" w:rsidRDefault="00A70665" w:rsidP="001D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B1F8" w14:textId="77777777" w:rsidR="00A70665" w:rsidRDefault="00A70665" w:rsidP="001D0F67">
      <w:pPr>
        <w:spacing w:after="0" w:line="240" w:lineRule="auto"/>
      </w:pPr>
      <w:r>
        <w:separator/>
      </w:r>
    </w:p>
  </w:footnote>
  <w:footnote w:type="continuationSeparator" w:id="0">
    <w:p w14:paraId="5509977B" w14:textId="77777777" w:rsidR="00A70665" w:rsidRDefault="00A70665" w:rsidP="001D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9062" w14:textId="1198B7DC" w:rsidR="001D0F67" w:rsidRDefault="001D0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859"/>
    <w:multiLevelType w:val="multilevel"/>
    <w:tmpl w:val="FAF897D4"/>
    <w:lvl w:ilvl="0">
      <w:start w:val="1"/>
      <w:numFmt w:val="decimal"/>
      <w:lvlText w:val="%1"/>
      <w:lvlJc w:val="left"/>
      <w:pPr>
        <w:ind w:left="360" w:hanging="360"/>
      </w:p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265C481D"/>
    <w:multiLevelType w:val="hybridMultilevel"/>
    <w:tmpl w:val="9BAC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AE7A9B"/>
    <w:multiLevelType w:val="multilevel"/>
    <w:tmpl w:val="B7BC3262"/>
    <w:lvl w:ilvl="0">
      <w:start w:val="1"/>
      <w:numFmt w:val="decimal"/>
      <w:lvlText w:val="%1.0"/>
      <w:lvlJc w:val="left"/>
      <w:pPr>
        <w:ind w:left="690" w:hanging="690"/>
      </w:pPr>
      <w:rPr>
        <w:rFonts w:hint="default"/>
        <w:sz w:val="24"/>
        <w:szCs w:val="24"/>
      </w:rPr>
    </w:lvl>
    <w:lvl w:ilvl="1">
      <w:start w:val="1"/>
      <w:numFmt w:val="decimal"/>
      <w:lvlText w:val="%1.%2"/>
      <w:lvlJc w:val="left"/>
      <w:pPr>
        <w:ind w:left="1444" w:hanging="69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14" w:hanging="720"/>
      </w:pPr>
      <w:rPr>
        <w:rFonts w:hint="default"/>
      </w:rPr>
    </w:lvl>
    <w:lvl w:ilvl="4">
      <w:start w:val="1"/>
      <w:numFmt w:val="decimal"/>
      <w:lvlText w:val="%1.%2.%3.%4.%5"/>
      <w:lvlJc w:val="left"/>
      <w:pPr>
        <w:ind w:left="3994" w:hanging="1080"/>
      </w:pPr>
      <w:rPr>
        <w:rFonts w:hint="default"/>
      </w:rPr>
    </w:lvl>
    <w:lvl w:ilvl="5">
      <w:start w:val="1"/>
      <w:numFmt w:val="decimal"/>
      <w:lvlText w:val="%1.%2.%3.%4.%5.%6"/>
      <w:lvlJc w:val="left"/>
      <w:pPr>
        <w:ind w:left="4714" w:hanging="1080"/>
      </w:pPr>
      <w:rPr>
        <w:rFonts w:hint="default"/>
      </w:rPr>
    </w:lvl>
    <w:lvl w:ilvl="6">
      <w:start w:val="1"/>
      <w:numFmt w:val="decimal"/>
      <w:lvlText w:val="%1.%2.%3.%4.%5.%6.%7"/>
      <w:lvlJc w:val="left"/>
      <w:pPr>
        <w:ind w:left="5794" w:hanging="1440"/>
      </w:pPr>
      <w:rPr>
        <w:rFonts w:hint="default"/>
      </w:rPr>
    </w:lvl>
    <w:lvl w:ilvl="7">
      <w:start w:val="1"/>
      <w:numFmt w:val="decimal"/>
      <w:lvlText w:val="%1.%2.%3.%4.%5.%6.%7.%8"/>
      <w:lvlJc w:val="left"/>
      <w:pPr>
        <w:ind w:left="6514" w:hanging="1440"/>
      </w:pPr>
      <w:rPr>
        <w:rFonts w:hint="default"/>
      </w:rPr>
    </w:lvl>
    <w:lvl w:ilvl="8">
      <w:start w:val="1"/>
      <w:numFmt w:val="decimal"/>
      <w:lvlText w:val="%1.%2.%3.%4.%5.%6.%7.%8.%9"/>
      <w:lvlJc w:val="left"/>
      <w:pPr>
        <w:ind w:left="7594" w:hanging="1800"/>
      </w:pPr>
      <w:rPr>
        <w:rFonts w:hint="default"/>
      </w:rPr>
    </w:lvl>
  </w:abstractNum>
  <w:abstractNum w:abstractNumId="3" w15:restartNumberingAfterBreak="0">
    <w:nsid w:val="48CC029B"/>
    <w:multiLevelType w:val="hybridMultilevel"/>
    <w:tmpl w:val="26CCDAD6"/>
    <w:lvl w:ilvl="0" w:tplc="F844DB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95"/>
    <w:rsid w:val="00003986"/>
    <w:rsid w:val="00003F2C"/>
    <w:rsid w:val="00010936"/>
    <w:rsid w:val="00015753"/>
    <w:rsid w:val="00026437"/>
    <w:rsid w:val="00045399"/>
    <w:rsid w:val="00051AA0"/>
    <w:rsid w:val="00053A78"/>
    <w:rsid w:val="00061D9C"/>
    <w:rsid w:val="00072C0F"/>
    <w:rsid w:val="00076BC4"/>
    <w:rsid w:val="0009767F"/>
    <w:rsid w:val="00097850"/>
    <w:rsid w:val="000A6748"/>
    <w:rsid w:val="000C5B3E"/>
    <w:rsid w:val="000D46C1"/>
    <w:rsid w:val="000F6CD2"/>
    <w:rsid w:val="00102AEE"/>
    <w:rsid w:val="00107BC3"/>
    <w:rsid w:val="00113A5F"/>
    <w:rsid w:val="001215AC"/>
    <w:rsid w:val="00123D9E"/>
    <w:rsid w:val="0013186B"/>
    <w:rsid w:val="00136CDA"/>
    <w:rsid w:val="001440F0"/>
    <w:rsid w:val="001501F5"/>
    <w:rsid w:val="0016284B"/>
    <w:rsid w:val="0016301E"/>
    <w:rsid w:val="00166A65"/>
    <w:rsid w:val="00192ECA"/>
    <w:rsid w:val="001A5521"/>
    <w:rsid w:val="001C188E"/>
    <w:rsid w:val="001D08C5"/>
    <w:rsid w:val="001D0F67"/>
    <w:rsid w:val="001D2859"/>
    <w:rsid w:val="001D658D"/>
    <w:rsid w:val="001E1172"/>
    <w:rsid w:val="0020218A"/>
    <w:rsid w:val="00202E44"/>
    <w:rsid w:val="00235118"/>
    <w:rsid w:val="0023599D"/>
    <w:rsid w:val="00246B0D"/>
    <w:rsid w:val="00246FCE"/>
    <w:rsid w:val="002656F4"/>
    <w:rsid w:val="00267E01"/>
    <w:rsid w:val="00283635"/>
    <w:rsid w:val="002926C8"/>
    <w:rsid w:val="002B77FB"/>
    <w:rsid w:val="002C243E"/>
    <w:rsid w:val="002D54F6"/>
    <w:rsid w:val="002E4E7D"/>
    <w:rsid w:val="002F1CB0"/>
    <w:rsid w:val="00302939"/>
    <w:rsid w:val="00310AB2"/>
    <w:rsid w:val="00310EAD"/>
    <w:rsid w:val="00327DE0"/>
    <w:rsid w:val="0033396D"/>
    <w:rsid w:val="00334B23"/>
    <w:rsid w:val="00367534"/>
    <w:rsid w:val="00375017"/>
    <w:rsid w:val="0037514C"/>
    <w:rsid w:val="0037646D"/>
    <w:rsid w:val="00377F25"/>
    <w:rsid w:val="00385052"/>
    <w:rsid w:val="00394B1C"/>
    <w:rsid w:val="003B3F0A"/>
    <w:rsid w:val="003F49C9"/>
    <w:rsid w:val="003F4B75"/>
    <w:rsid w:val="00400D7B"/>
    <w:rsid w:val="00420154"/>
    <w:rsid w:val="00421405"/>
    <w:rsid w:val="004223DA"/>
    <w:rsid w:val="00423396"/>
    <w:rsid w:val="00442738"/>
    <w:rsid w:val="00446484"/>
    <w:rsid w:val="00451B0B"/>
    <w:rsid w:val="0048606A"/>
    <w:rsid w:val="00496739"/>
    <w:rsid w:val="004B07EC"/>
    <w:rsid w:val="004B5185"/>
    <w:rsid w:val="004C02AF"/>
    <w:rsid w:val="004C1EFE"/>
    <w:rsid w:val="004C36A7"/>
    <w:rsid w:val="004D2FEC"/>
    <w:rsid w:val="004E399F"/>
    <w:rsid w:val="004F4F22"/>
    <w:rsid w:val="004F5EB3"/>
    <w:rsid w:val="00501DC3"/>
    <w:rsid w:val="0052169E"/>
    <w:rsid w:val="00543C95"/>
    <w:rsid w:val="00553946"/>
    <w:rsid w:val="00572EDE"/>
    <w:rsid w:val="005A1CB1"/>
    <w:rsid w:val="005A5FB7"/>
    <w:rsid w:val="005C3AC1"/>
    <w:rsid w:val="005C56F7"/>
    <w:rsid w:val="005F34AF"/>
    <w:rsid w:val="005F5E54"/>
    <w:rsid w:val="005F62C6"/>
    <w:rsid w:val="00611B0F"/>
    <w:rsid w:val="00617F6F"/>
    <w:rsid w:val="0062042F"/>
    <w:rsid w:val="00625EA4"/>
    <w:rsid w:val="00626DD8"/>
    <w:rsid w:val="00630B9F"/>
    <w:rsid w:val="006320F0"/>
    <w:rsid w:val="00637A4A"/>
    <w:rsid w:val="006569ED"/>
    <w:rsid w:val="006639EB"/>
    <w:rsid w:val="006655AC"/>
    <w:rsid w:val="006732F5"/>
    <w:rsid w:val="00682F3B"/>
    <w:rsid w:val="00686022"/>
    <w:rsid w:val="00687597"/>
    <w:rsid w:val="00693A33"/>
    <w:rsid w:val="006B5F39"/>
    <w:rsid w:val="006B68E0"/>
    <w:rsid w:val="006C6EA6"/>
    <w:rsid w:val="006E3FD4"/>
    <w:rsid w:val="006E7000"/>
    <w:rsid w:val="006F2EC0"/>
    <w:rsid w:val="00714154"/>
    <w:rsid w:val="00720D63"/>
    <w:rsid w:val="00730B4C"/>
    <w:rsid w:val="00735413"/>
    <w:rsid w:val="00740561"/>
    <w:rsid w:val="00747CCB"/>
    <w:rsid w:val="00753236"/>
    <w:rsid w:val="0077011F"/>
    <w:rsid w:val="007705B3"/>
    <w:rsid w:val="00772C2F"/>
    <w:rsid w:val="00775004"/>
    <w:rsid w:val="007A7E32"/>
    <w:rsid w:val="007B4DE9"/>
    <w:rsid w:val="007B5B26"/>
    <w:rsid w:val="007C2C9B"/>
    <w:rsid w:val="007D0C3F"/>
    <w:rsid w:val="007E0932"/>
    <w:rsid w:val="007F5388"/>
    <w:rsid w:val="007F7449"/>
    <w:rsid w:val="00803ECF"/>
    <w:rsid w:val="008139D4"/>
    <w:rsid w:val="008235D2"/>
    <w:rsid w:val="00827CFE"/>
    <w:rsid w:val="00842B8B"/>
    <w:rsid w:val="00862927"/>
    <w:rsid w:val="008638E2"/>
    <w:rsid w:val="00865418"/>
    <w:rsid w:val="008821B5"/>
    <w:rsid w:val="00887065"/>
    <w:rsid w:val="00897E0D"/>
    <w:rsid w:val="008B2334"/>
    <w:rsid w:val="008C0492"/>
    <w:rsid w:val="008C6F34"/>
    <w:rsid w:val="008C7513"/>
    <w:rsid w:val="008E4667"/>
    <w:rsid w:val="00901505"/>
    <w:rsid w:val="0090498F"/>
    <w:rsid w:val="00912AEC"/>
    <w:rsid w:val="009346C8"/>
    <w:rsid w:val="00934A2C"/>
    <w:rsid w:val="00946A0C"/>
    <w:rsid w:val="0095090A"/>
    <w:rsid w:val="00961C93"/>
    <w:rsid w:val="00966E5E"/>
    <w:rsid w:val="00975560"/>
    <w:rsid w:val="00995348"/>
    <w:rsid w:val="009A493E"/>
    <w:rsid w:val="009B037E"/>
    <w:rsid w:val="009B1CD9"/>
    <w:rsid w:val="009B25E5"/>
    <w:rsid w:val="009B7BCE"/>
    <w:rsid w:val="009C370A"/>
    <w:rsid w:val="009C5F9D"/>
    <w:rsid w:val="009D2F60"/>
    <w:rsid w:val="009E1955"/>
    <w:rsid w:val="009F5EF6"/>
    <w:rsid w:val="009F654D"/>
    <w:rsid w:val="00A01730"/>
    <w:rsid w:val="00A07A3C"/>
    <w:rsid w:val="00A14257"/>
    <w:rsid w:val="00A22FBC"/>
    <w:rsid w:val="00A35D90"/>
    <w:rsid w:val="00A37EE5"/>
    <w:rsid w:val="00A64A84"/>
    <w:rsid w:val="00A70665"/>
    <w:rsid w:val="00A72BCC"/>
    <w:rsid w:val="00A84D6D"/>
    <w:rsid w:val="00A85E00"/>
    <w:rsid w:val="00A85E47"/>
    <w:rsid w:val="00AA0E6A"/>
    <w:rsid w:val="00AB1416"/>
    <w:rsid w:val="00AB47CA"/>
    <w:rsid w:val="00AD5AE1"/>
    <w:rsid w:val="00AE18B7"/>
    <w:rsid w:val="00AF6579"/>
    <w:rsid w:val="00B253C8"/>
    <w:rsid w:val="00B27957"/>
    <w:rsid w:val="00B354F8"/>
    <w:rsid w:val="00B41930"/>
    <w:rsid w:val="00B41F47"/>
    <w:rsid w:val="00B52770"/>
    <w:rsid w:val="00B540BA"/>
    <w:rsid w:val="00B567AE"/>
    <w:rsid w:val="00B62D35"/>
    <w:rsid w:val="00B6711C"/>
    <w:rsid w:val="00B730F9"/>
    <w:rsid w:val="00B8677A"/>
    <w:rsid w:val="00B96082"/>
    <w:rsid w:val="00B97133"/>
    <w:rsid w:val="00BA6D25"/>
    <w:rsid w:val="00BC2DC0"/>
    <w:rsid w:val="00BC36FA"/>
    <w:rsid w:val="00BC4243"/>
    <w:rsid w:val="00BF5518"/>
    <w:rsid w:val="00C0262E"/>
    <w:rsid w:val="00C0499C"/>
    <w:rsid w:val="00C073FF"/>
    <w:rsid w:val="00C14CF0"/>
    <w:rsid w:val="00C42CCC"/>
    <w:rsid w:val="00C44661"/>
    <w:rsid w:val="00C45233"/>
    <w:rsid w:val="00C516DC"/>
    <w:rsid w:val="00C632AF"/>
    <w:rsid w:val="00C84189"/>
    <w:rsid w:val="00C92852"/>
    <w:rsid w:val="00CA335F"/>
    <w:rsid w:val="00CA3D97"/>
    <w:rsid w:val="00CB7C81"/>
    <w:rsid w:val="00CC5FE0"/>
    <w:rsid w:val="00CD24CF"/>
    <w:rsid w:val="00CD4F9B"/>
    <w:rsid w:val="00CD536B"/>
    <w:rsid w:val="00CE439D"/>
    <w:rsid w:val="00CF61FC"/>
    <w:rsid w:val="00D103E9"/>
    <w:rsid w:val="00D25F66"/>
    <w:rsid w:val="00D30E53"/>
    <w:rsid w:val="00D45032"/>
    <w:rsid w:val="00D50CB7"/>
    <w:rsid w:val="00D5126B"/>
    <w:rsid w:val="00D51FE4"/>
    <w:rsid w:val="00D60287"/>
    <w:rsid w:val="00D612E7"/>
    <w:rsid w:val="00D70423"/>
    <w:rsid w:val="00D71734"/>
    <w:rsid w:val="00D76CD3"/>
    <w:rsid w:val="00D8280A"/>
    <w:rsid w:val="00D910DB"/>
    <w:rsid w:val="00D93528"/>
    <w:rsid w:val="00DC1A34"/>
    <w:rsid w:val="00DC39C3"/>
    <w:rsid w:val="00DC44B2"/>
    <w:rsid w:val="00DE3B15"/>
    <w:rsid w:val="00DF00C7"/>
    <w:rsid w:val="00E0779F"/>
    <w:rsid w:val="00E13DC8"/>
    <w:rsid w:val="00E23D9B"/>
    <w:rsid w:val="00E324CE"/>
    <w:rsid w:val="00E3491E"/>
    <w:rsid w:val="00E63533"/>
    <w:rsid w:val="00E67A2D"/>
    <w:rsid w:val="00E73695"/>
    <w:rsid w:val="00E97B3C"/>
    <w:rsid w:val="00EA0DE3"/>
    <w:rsid w:val="00EC76C2"/>
    <w:rsid w:val="00EF7EED"/>
    <w:rsid w:val="00F02247"/>
    <w:rsid w:val="00F07EDC"/>
    <w:rsid w:val="00F25A80"/>
    <w:rsid w:val="00F30067"/>
    <w:rsid w:val="00F367C8"/>
    <w:rsid w:val="00F41F99"/>
    <w:rsid w:val="00F51978"/>
    <w:rsid w:val="00F54AAA"/>
    <w:rsid w:val="00F568F3"/>
    <w:rsid w:val="00F62A47"/>
    <w:rsid w:val="00F656D8"/>
    <w:rsid w:val="00F71482"/>
    <w:rsid w:val="00F74FE4"/>
    <w:rsid w:val="00F764B9"/>
    <w:rsid w:val="00F804CB"/>
    <w:rsid w:val="00F8052E"/>
    <w:rsid w:val="00F808A4"/>
    <w:rsid w:val="00F859A5"/>
    <w:rsid w:val="00F93AEF"/>
    <w:rsid w:val="00FA008F"/>
    <w:rsid w:val="00FA0E18"/>
    <w:rsid w:val="00FB5004"/>
    <w:rsid w:val="00FB5D77"/>
    <w:rsid w:val="00FC4D54"/>
    <w:rsid w:val="00FD52F0"/>
    <w:rsid w:val="00FE05D2"/>
    <w:rsid w:val="00FE1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DDCC9"/>
  <w15:chartTrackingRefBased/>
  <w15:docId w15:val="{17104E6E-3C44-4D4E-A005-5472C96C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95"/>
    <w:pPr>
      <w:ind w:left="720"/>
      <w:contextualSpacing/>
    </w:pPr>
  </w:style>
  <w:style w:type="table" w:styleId="TableGrid">
    <w:name w:val="Table Grid"/>
    <w:basedOn w:val="TableNormal"/>
    <w:rsid w:val="00E7369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E73695"/>
    <w:pPr>
      <w:spacing w:after="0" w:line="240" w:lineRule="auto"/>
    </w:pPr>
    <w:rPr>
      <w:rFonts w:ascii="Arial" w:hAnsi="Arial" w:cs="Arial"/>
      <w:sz w:val="24"/>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Header">
    <w:name w:val="header"/>
    <w:basedOn w:val="Normal"/>
    <w:link w:val="HeaderChar"/>
    <w:uiPriority w:val="99"/>
    <w:unhideWhenUsed/>
    <w:rsid w:val="001D0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7"/>
  </w:style>
  <w:style w:type="paragraph" w:styleId="Footer">
    <w:name w:val="footer"/>
    <w:basedOn w:val="Normal"/>
    <w:link w:val="FooterChar"/>
    <w:uiPriority w:val="99"/>
    <w:unhideWhenUsed/>
    <w:rsid w:val="001D0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7"/>
  </w:style>
  <w:style w:type="paragraph" w:customStyle="1" w:styleId="paragraph">
    <w:name w:val="paragraph"/>
    <w:basedOn w:val="Normal"/>
    <w:rsid w:val="008821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1B5"/>
  </w:style>
  <w:style w:type="character" w:customStyle="1" w:styleId="eop">
    <w:name w:val="eop"/>
    <w:basedOn w:val="DefaultParagraphFont"/>
    <w:rsid w:val="008821B5"/>
  </w:style>
  <w:style w:type="paragraph" w:styleId="Revision">
    <w:name w:val="Revision"/>
    <w:hidden/>
    <w:uiPriority w:val="99"/>
    <w:semiHidden/>
    <w:rsid w:val="00C44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2903">
      <w:bodyDiv w:val="1"/>
      <w:marLeft w:val="0"/>
      <w:marRight w:val="0"/>
      <w:marTop w:val="0"/>
      <w:marBottom w:val="0"/>
      <w:divBdr>
        <w:top w:val="none" w:sz="0" w:space="0" w:color="auto"/>
        <w:left w:val="none" w:sz="0" w:space="0" w:color="auto"/>
        <w:bottom w:val="none" w:sz="0" w:space="0" w:color="auto"/>
        <w:right w:val="none" w:sz="0" w:space="0" w:color="auto"/>
      </w:divBdr>
      <w:divsChild>
        <w:div w:id="1608004961">
          <w:marLeft w:val="0"/>
          <w:marRight w:val="0"/>
          <w:marTop w:val="0"/>
          <w:marBottom w:val="0"/>
          <w:divBdr>
            <w:top w:val="none" w:sz="0" w:space="0" w:color="auto"/>
            <w:left w:val="none" w:sz="0" w:space="0" w:color="auto"/>
            <w:bottom w:val="none" w:sz="0" w:space="0" w:color="auto"/>
            <w:right w:val="none" w:sz="0" w:space="0" w:color="auto"/>
          </w:divBdr>
        </w:div>
        <w:div w:id="1743143420">
          <w:marLeft w:val="0"/>
          <w:marRight w:val="0"/>
          <w:marTop w:val="0"/>
          <w:marBottom w:val="0"/>
          <w:divBdr>
            <w:top w:val="none" w:sz="0" w:space="0" w:color="auto"/>
            <w:left w:val="none" w:sz="0" w:space="0" w:color="auto"/>
            <w:bottom w:val="none" w:sz="0" w:space="0" w:color="auto"/>
            <w:right w:val="none" w:sz="0" w:space="0" w:color="auto"/>
          </w:divBdr>
        </w:div>
        <w:div w:id="1797871046">
          <w:marLeft w:val="0"/>
          <w:marRight w:val="0"/>
          <w:marTop w:val="0"/>
          <w:marBottom w:val="0"/>
          <w:divBdr>
            <w:top w:val="none" w:sz="0" w:space="0" w:color="auto"/>
            <w:left w:val="none" w:sz="0" w:space="0" w:color="auto"/>
            <w:bottom w:val="none" w:sz="0" w:space="0" w:color="auto"/>
            <w:right w:val="none" w:sz="0" w:space="0" w:color="auto"/>
          </w:divBdr>
        </w:div>
      </w:divsChild>
    </w:div>
    <w:div w:id="620453822">
      <w:bodyDiv w:val="1"/>
      <w:marLeft w:val="0"/>
      <w:marRight w:val="0"/>
      <w:marTop w:val="0"/>
      <w:marBottom w:val="0"/>
      <w:divBdr>
        <w:top w:val="none" w:sz="0" w:space="0" w:color="auto"/>
        <w:left w:val="none" w:sz="0" w:space="0" w:color="auto"/>
        <w:bottom w:val="none" w:sz="0" w:space="0" w:color="auto"/>
        <w:right w:val="none" w:sz="0" w:space="0" w:color="auto"/>
      </w:divBdr>
    </w:div>
    <w:div w:id="1317688242">
      <w:bodyDiv w:val="1"/>
      <w:marLeft w:val="0"/>
      <w:marRight w:val="0"/>
      <w:marTop w:val="0"/>
      <w:marBottom w:val="0"/>
      <w:divBdr>
        <w:top w:val="none" w:sz="0" w:space="0" w:color="auto"/>
        <w:left w:val="none" w:sz="0" w:space="0" w:color="auto"/>
        <w:bottom w:val="none" w:sz="0" w:space="0" w:color="auto"/>
        <w:right w:val="none" w:sz="0" w:space="0" w:color="auto"/>
      </w:divBdr>
    </w:div>
    <w:div w:id="17246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DA24-21F9-460E-88E9-2A3102F7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Evenett</dc:creator>
  <cp:keywords/>
  <dc:description/>
  <cp:lastModifiedBy>Clare Gornall</cp:lastModifiedBy>
  <cp:revision>4</cp:revision>
  <dcterms:created xsi:type="dcterms:W3CDTF">2023-09-11T16:18:00Z</dcterms:created>
  <dcterms:modified xsi:type="dcterms:W3CDTF">2023-09-15T13:36:00Z</dcterms:modified>
</cp:coreProperties>
</file>